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DD0095" w:rsidRDefault="00640A4F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DD0095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6734FE" w:rsidRPr="00DD0095">
        <w:rPr>
          <w:rFonts w:ascii="Arial" w:hAnsi="Arial" w:cs="Arial"/>
          <w:sz w:val="18"/>
          <w:szCs w:val="18"/>
          <w:lang w:eastAsia="en-US"/>
        </w:rPr>
        <w:t>24</w:t>
      </w:r>
      <w:r w:rsidR="006D2ACC" w:rsidRPr="00DD0095">
        <w:rPr>
          <w:rFonts w:ascii="Arial" w:hAnsi="Arial" w:cs="Arial"/>
          <w:sz w:val="18"/>
          <w:szCs w:val="18"/>
          <w:lang w:eastAsia="en-US"/>
        </w:rPr>
        <w:t>.0</w:t>
      </w:r>
      <w:r w:rsidR="001D791E" w:rsidRPr="00DD0095">
        <w:rPr>
          <w:rFonts w:ascii="Arial" w:hAnsi="Arial" w:cs="Arial"/>
          <w:sz w:val="18"/>
          <w:szCs w:val="18"/>
          <w:lang w:eastAsia="en-US"/>
        </w:rPr>
        <w:t>4</w:t>
      </w:r>
      <w:r w:rsidR="00B472C1" w:rsidRPr="00DD0095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DD0095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DD0095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DD0095">
        <w:rPr>
          <w:rFonts w:ascii="Arial" w:hAnsi="Arial" w:cs="Arial"/>
          <w:sz w:val="18"/>
          <w:szCs w:val="18"/>
          <w:lang w:eastAsia="en-US"/>
        </w:rPr>
        <w:t>Nr sprawy: SP.ZP.272.</w:t>
      </w:r>
      <w:r w:rsidR="001D791E" w:rsidRPr="00DD0095">
        <w:rPr>
          <w:rFonts w:ascii="Arial" w:hAnsi="Arial" w:cs="Arial"/>
          <w:sz w:val="18"/>
          <w:szCs w:val="18"/>
          <w:lang w:eastAsia="en-US"/>
        </w:rPr>
        <w:t>14</w:t>
      </w:r>
      <w:r w:rsidRPr="00DD0095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DD0095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DD0095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F1D75" w:rsidRPr="00DD0095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D0095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DD0095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D0095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DD0095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D791E" w:rsidRPr="00DD0095" w:rsidRDefault="00AF1D75" w:rsidP="001D791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DD009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DD0095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1D791E" w:rsidRPr="00DD0095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1D791E" w:rsidRPr="00DD0095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1D791E" w:rsidRPr="00DD0095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DD0095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DD0095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DD0095">
        <w:rPr>
          <w:rFonts w:ascii="Arial" w:hAnsi="Arial" w:cs="Arial"/>
          <w:sz w:val="18"/>
          <w:szCs w:val="18"/>
        </w:rPr>
        <w:t xml:space="preserve"> z</w:t>
      </w:r>
      <w:bookmarkStart w:id="0" w:name="_GoBack"/>
      <w:bookmarkEnd w:id="0"/>
      <w:r w:rsidR="00640A4F" w:rsidRPr="00DD0095">
        <w:rPr>
          <w:rFonts w:ascii="Arial" w:hAnsi="Arial" w:cs="Arial"/>
          <w:sz w:val="18"/>
          <w:szCs w:val="18"/>
        </w:rPr>
        <w:t>e zm.</w:t>
      </w:r>
      <w:r w:rsidRPr="00DD0095">
        <w:rPr>
          <w:rFonts w:ascii="Arial" w:hAnsi="Arial" w:cs="Arial"/>
          <w:sz w:val="18"/>
          <w:szCs w:val="18"/>
        </w:rPr>
        <w:t xml:space="preserve">), </w:t>
      </w:r>
      <w:r w:rsidRPr="00DD0095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AF1D75" w:rsidRPr="00DD0095" w:rsidRDefault="00AF1D75" w:rsidP="00AF1D75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DD0095" w:rsidRDefault="00640A4F" w:rsidP="00640A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W </w:t>
      </w:r>
      <w:r w:rsidR="001D791E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Załączniku </w:t>
      </w: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6</w:t>
      </w:r>
      <w:r w:rsidR="001D791E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.2. do SIWZ – Specyfikacja </w:t>
      </w:r>
      <w:r w:rsidR="000D0BF2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Techniczna koparki poz. </w:t>
      </w:r>
      <w:r w:rsidR="00404F6F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12, 23, 24, 25, 27</w:t>
      </w:r>
      <w:r w:rsidR="000D0BF2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otrzymują </w:t>
      </w:r>
      <w:r w:rsidR="001D791E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brzmienie</w:t>
      </w: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802"/>
      </w:tblGrid>
      <w:tr w:rsidR="00404F6F" w:rsidRPr="00DD0095" w:rsidTr="00404F6F">
        <w:trPr>
          <w:trHeight w:val="230"/>
        </w:trPr>
        <w:tc>
          <w:tcPr>
            <w:tcW w:w="624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802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 xml:space="preserve">Ramię koparkowe 3-krotnie łamane, </w:t>
            </w:r>
          </w:p>
        </w:tc>
      </w:tr>
      <w:tr w:rsidR="00404F6F" w:rsidRPr="00DD0095" w:rsidTr="00404F6F">
        <w:trPr>
          <w:trHeight w:val="241"/>
        </w:trPr>
        <w:tc>
          <w:tcPr>
            <w:tcW w:w="624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802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Wycieraczka szyby czołowej oraz tylnej (opcja) i osłona przeciwsłoneczna</w:t>
            </w:r>
          </w:p>
        </w:tc>
      </w:tr>
      <w:tr w:rsidR="00404F6F" w:rsidRPr="00DD0095" w:rsidTr="00404F6F">
        <w:trPr>
          <w:trHeight w:val="225"/>
        </w:trPr>
        <w:tc>
          <w:tcPr>
            <w:tcW w:w="624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8802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Oświetlenie drogowe maszyny w technologii żarnowej lub LED oraz dodatkowe oświetlenie robocze w technologii LED z przodu (min. 2 lampy), z boków (min. Po 1 lampie na stronę) i z tyłu maszyny (min. 2 lampa)</w:t>
            </w:r>
          </w:p>
        </w:tc>
      </w:tr>
      <w:tr w:rsidR="00404F6F" w:rsidRPr="00DD0095" w:rsidTr="00404F6F">
        <w:trPr>
          <w:trHeight w:val="143"/>
        </w:trPr>
        <w:tc>
          <w:tcPr>
            <w:tcW w:w="624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8802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Koparka kołowa winna posiadać:</w:t>
            </w:r>
          </w:p>
          <w:p w:rsidR="00404F6F" w:rsidRPr="00DD0095" w:rsidRDefault="00404F6F" w:rsidP="00DC0460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- dwie osie skrętne,</w:t>
            </w:r>
          </w:p>
          <w:p w:rsidR="00404F6F" w:rsidRPr="00DD0095" w:rsidRDefault="00404F6F" w:rsidP="00DC0460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sz w:val="18"/>
                <w:szCs w:val="18"/>
                <w:lang w:eastAsia="pl-PL"/>
              </w:rPr>
              <w:t>- funkcję automatycznego proporcjonalnego skrętu kierownicy w stosunku do kierunku jazdy</w:t>
            </w:r>
          </w:p>
        </w:tc>
      </w:tr>
      <w:tr w:rsidR="00404F6F" w:rsidRPr="00DD0095" w:rsidTr="00404F6F">
        <w:trPr>
          <w:trHeight w:val="236"/>
        </w:trPr>
        <w:tc>
          <w:tcPr>
            <w:tcW w:w="624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8802" w:type="dxa"/>
            <w:shd w:val="clear" w:color="auto" w:fill="auto"/>
          </w:tcPr>
          <w:p w:rsidR="00404F6F" w:rsidRPr="00DD0095" w:rsidRDefault="00404F6F" w:rsidP="00DC0460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System telematyczny monitorujący parametry techniczne m.in.:</w:t>
            </w:r>
          </w:p>
          <w:p w:rsidR="00404F6F" w:rsidRPr="00DD0095" w:rsidRDefault="00404F6F" w:rsidP="00DC046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- system antykradzieżowy umożliwiający dokładną, </w:t>
            </w:r>
          </w:p>
          <w:p w:rsidR="00404F6F" w:rsidRPr="00DD0095" w:rsidRDefault="00404F6F" w:rsidP="00DC046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aktualną lokalizację maszyny,</w:t>
            </w:r>
          </w:p>
          <w:p w:rsidR="00404F6F" w:rsidRPr="00DD0095" w:rsidRDefault="00404F6F" w:rsidP="00DC0460">
            <w:pPr>
              <w:tabs>
                <w:tab w:val="left" w:pos="543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dzienne zużycie paliwa,</w:t>
            </w: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ab/>
            </w:r>
          </w:p>
          <w:p w:rsidR="00404F6F" w:rsidRPr="00DD0095" w:rsidRDefault="00404F6F" w:rsidP="00DC046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dzienne zestawienie pracy (mtg lub godziny),</w:t>
            </w:r>
          </w:p>
          <w:p w:rsidR="00404F6F" w:rsidRPr="00DD0095" w:rsidRDefault="00404F6F" w:rsidP="00DC046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informacje serwisowe maszyny,</w:t>
            </w:r>
          </w:p>
          <w:p w:rsidR="00404F6F" w:rsidRPr="00DD0095" w:rsidRDefault="00404F6F" w:rsidP="00DC046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404F6F" w:rsidRPr="00DD0095" w:rsidRDefault="00404F6F" w:rsidP="00DC046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D009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Dostęp do systemu telematycznego za pomocą stronę WWW.</w:t>
            </w:r>
          </w:p>
        </w:tc>
      </w:tr>
    </w:tbl>
    <w:p w:rsidR="000D0BF2" w:rsidRPr="00DD0095" w:rsidRDefault="000D0BF2" w:rsidP="00404F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0D0BF2" w:rsidRPr="00DD0095" w:rsidRDefault="000D0BF2" w:rsidP="000D0BF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>Zamawiający na stronie BIP i Platformie przetargowej załączy poprawiony Załącznik 6.2.</w:t>
      </w:r>
      <w:r w:rsidR="00907913" w:rsidRPr="00DD0095">
        <w:rPr>
          <w:rFonts w:ascii="Arial" w:eastAsiaTheme="minorHAnsi" w:hAnsi="Arial" w:cs="Arial"/>
          <w:sz w:val="18"/>
          <w:szCs w:val="18"/>
          <w:lang w:eastAsia="en-US"/>
        </w:rPr>
        <w:t xml:space="preserve"> do SIWZ po modyfikacji z dnia </w:t>
      </w:r>
      <w:r w:rsidR="006734FE" w:rsidRPr="00DD0095">
        <w:rPr>
          <w:rFonts w:ascii="Arial" w:eastAsiaTheme="minorHAnsi" w:hAnsi="Arial" w:cs="Arial"/>
          <w:sz w:val="18"/>
          <w:szCs w:val="18"/>
          <w:lang w:eastAsia="en-US"/>
        </w:rPr>
        <w:t>24.</w:t>
      </w:r>
      <w:r w:rsidRPr="00DD0095">
        <w:rPr>
          <w:rFonts w:ascii="Arial" w:eastAsiaTheme="minorHAnsi" w:hAnsi="Arial" w:cs="Arial"/>
          <w:sz w:val="18"/>
          <w:szCs w:val="18"/>
          <w:lang w:eastAsia="en-US"/>
        </w:rPr>
        <w:t xml:space="preserve">04.2020 r. </w:t>
      </w:r>
    </w:p>
    <w:p w:rsidR="000D0BF2" w:rsidRPr="00DD0095" w:rsidRDefault="000D0BF2" w:rsidP="000D0BF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1D791E" w:rsidRPr="00DD0095" w:rsidRDefault="001D791E" w:rsidP="001D79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W Załączniku 1 Formularz ofertowy w tabeli Specyfikacja techniczna – Parametry techniczne oferowanej koparki kołowej, którą na</w:t>
      </w:r>
      <w:r w:rsidR="000D0BF2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leży złożyć wraz z ofertą poz. </w:t>
      </w:r>
      <w:r w:rsidR="00907913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12, 23, 24, 25, 27</w:t>
      </w:r>
      <w:r w:rsidR="000D0BF2"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tabeli otrzymuje brzmienie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907913" w:rsidRPr="00DD0095" w:rsidTr="00907913">
        <w:trPr>
          <w:trHeight w:val="230"/>
        </w:trPr>
        <w:tc>
          <w:tcPr>
            <w:tcW w:w="625" w:type="dxa"/>
            <w:hideMark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6491" w:type="dxa"/>
            <w:hideMark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Ramię koparkowe 3-krotnie łamane</w:t>
            </w:r>
          </w:p>
        </w:tc>
        <w:tc>
          <w:tcPr>
            <w:tcW w:w="2092" w:type="dxa"/>
            <w:vAlign w:val="center"/>
            <w:hideMark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907913" w:rsidRPr="00DD0095" w:rsidTr="00907913">
        <w:trPr>
          <w:trHeight w:val="121"/>
        </w:trPr>
        <w:tc>
          <w:tcPr>
            <w:tcW w:w="625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6491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Wycieraczka szyby czołowej i tylnej (opcja),  osłona przeciwsłoneczna</w:t>
            </w:r>
          </w:p>
        </w:tc>
        <w:tc>
          <w:tcPr>
            <w:tcW w:w="2092" w:type="dxa"/>
            <w:vAlign w:val="center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907913" w:rsidRPr="00DD0095" w:rsidTr="00907913">
        <w:trPr>
          <w:trHeight w:val="241"/>
        </w:trPr>
        <w:tc>
          <w:tcPr>
            <w:tcW w:w="625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6491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Oświetlenie drogowe maszyny w technologii żarnikowej lub LED oraz dodatkowe oświetlenie robocze w technologii LED z przodu (min. 2 lampy) z boków (min. Po 1 lampie na stronę) i z tyłu maszyny (min. 2 lampy)</w:t>
            </w:r>
          </w:p>
        </w:tc>
        <w:tc>
          <w:tcPr>
            <w:tcW w:w="2092" w:type="dxa"/>
            <w:vAlign w:val="center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907913" w:rsidRPr="00DD0095" w:rsidTr="00907913">
        <w:trPr>
          <w:trHeight w:val="225"/>
        </w:trPr>
        <w:tc>
          <w:tcPr>
            <w:tcW w:w="625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6491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Koparka kołowa powinna posiadać: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- dwie osie skrętne,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- funkcję automatycznego proporcjonalnego skrętu kierownicy w stosunku do kierunku jazdy</w:t>
            </w:r>
          </w:p>
          <w:p w:rsidR="00404F6F" w:rsidRPr="00DD0095" w:rsidRDefault="00404F6F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7913" w:rsidRPr="00DD0095" w:rsidTr="00907913">
        <w:trPr>
          <w:trHeight w:val="143"/>
        </w:trPr>
        <w:tc>
          <w:tcPr>
            <w:tcW w:w="625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27.</w:t>
            </w:r>
          </w:p>
        </w:tc>
        <w:tc>
          <w:tcPr>
            <w:tcW w:w="6491" w:type="dxa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System telematyczny monitorujący parametry techniczne m.in.: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 xml:space="preserve">- system antykradzieżowy umożliwiający dokładną, 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- aktualną lokalizację maszyny,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- dzienne zużycie paliwa,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- dzienne zestawienie pracy (mtg lub godziny.),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- informacje serwisowe maszyny,</w:t>
            </w:r>
          </w:p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 xml:space="preserve"> Dostęp do systemu telematycznego za pomocą stronę WWW.</w:t>
            </w:r>
          </w:p>
        </w:tc>
        <w:tc>
          <w:tcPr>
            <w:tcW w:w="2092" w:type="dxa"/>
            <w:vAlign w:val="center"/>
          </w:tcPr>
          <w:p w:rsidR="00907913" w:rsidRPr="00DD0095" w:rsidRDefault="00907913" w:rsidP="00772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0095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1D791E" w:rsidRPr="00DD0095" w:rsidRDefault="000D0BF2" w:rsidP="00640A4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>Zamawiający na stronie BIP i Platformie przetargowej załączy poprawiony Załącznik 1</w:t>
      </w:r>
      <w:r w:rsidR="00907913" w:rsidRPr="00DD0095">
        <w:rPr>
          <w:rFonts w:ascii="Arial" w:eastAsiaTheme="minorHAnsi" w:hAnsi="Arial" w:cs="Arial"/>
          <w:sz w:val="18"/>
          <w:szCs w:val="18"/>
          <w:lang w:eastAsia="en-US"/>
        </w:rPr>
        <w:t xml:space="preserve"> do SIWZ po modyfikacji z dnia </w:t>
      </w:r>
      <w:r w:rsidR="006734FE" w:rsidRPr="00DD0095">
        <w:rPr>
          <w:rFonts w:ascii="Arial" w:eastAsiaTheme="minorHAnsi" w:hAnsi="Arial" w:cs="Arial"/>
          <w:sz w:val="18"/>
          <w:szCs w:val="18"/>
          <w:lang w:eastAsia="en-US"/>
        </w:rPr>
        <w:t>24.04.</w:t>
      </w:r>
      <w:r w:rsidRPr="00DD0095">
        <w:rPr>
          <w:rFonts w:ascii="Arial" w:eastAsiaTheme="minorHAnsi" w:hAnsi="Arial" w:cs="Arial"/>
          <w:sz w:val="18"/>
          <w:szCs w:val="18"/>
          <w:lang w:eastAsia="en-US"/>
        </w:rPr>
        <w:t>2020 r.</w:t>
      </w:r>
    </w:p>
    <w:p w:rsidR="00907913" w:rsidRPr="00DD0095" w:rsidRDefault="00907913" w:rsidP="00640A4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6734FE" w:rsidRPr="00DD0095" w:rsidRDefault="006734FE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Załącznik 7 do SIWZ, § 7 ust. 7 otrzymuje brzmienie:</w:t>
      </w:r>
    </w:p>
    <w:p w:rsidR="006734FE" w:rsidRPr="00DD0095" w:rsidRDefault="006734FE" w:rsidP="006734FE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 xml:space="preserve">„7. W przypadku, gdy Wykonawca odmówi usunięcia wad, awarii (usterek) lub nie usunie ich w terminie określonym w § 8 ust. 16 i 17 lub z okoliczności wynika, iż nie zdoła ich usunąć w tym terminie, Zamawiający ma prawo zlecić usunięcie tych wad, awarii (usterek) osobie trzeciej na koszt i ryzyko Wykonawcy oraz potrącić koszty zastępczego usunięcia wad, awarii (usterek) z zabezpieczenia należytego wykonania umowy, na co Wykonawca wyraża zgodę, </w:t>
      </w:r>
      <w:bookmarkStart w:id="1" w:name="__DdeLink__1718_3250254951"/>
      <w:r w:rsidRPr="00DD0095">
        <w:rPr>
          <w:rFonts w:ascii="Arial" w:eastAsiaTheme="minorHAnsi" w:hAnsi="Arial" w:cs="Arial"/>
          <w:sz w:val="18"/>
          <w:szCs w:val="18"/>
          <w:lang w:eastAsia="en-US"/>
        </w:rPr>
        <w:t>z zastrzeżeniem ust. 20 § 8 niniejszej umowy</w:t>
      </w:r>
      <w:bookmarkEnd w:id="1"/>
      <w:r w:rsidRPr="00DD0095">
        <w:rPr>
          <w:rFonts w:ascii="Arial" w:eastAsiaTheme="minorHAnsi" w:hAnsi="Arial" w:cs="Arial"/>
          <w:sz w:val="18"/>
          <w:szCs w:val="18"/>
          <w:lang w:eastAsia="en-US"/>
        </w:rPr>
        <w:t>.”</w:t>
      </w:r>
    </w:p>
    <w:p w:rsidR="006734FE" w:rsidRPr="00DD0095" w:rsidRDefault="006734FE" w:rsidP="006734FE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6734FE" w:rsidRPr="00DD0095" w:rsidRDefault="006734FE" w:rsidP="006734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Załącznik 7 do SIWZ, § 8 ust. 16 otrzymuje brzmienie:</w:t>
      </w:r>
    </w:p>
    <w:p w:rsidR="006734FE" w:rsidRPr="00DD0095" w:rsidRDefault="006734FE" w:rsidP="006734FE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>„16.</w:t>
      </w:r>
      <w:r w:rsidRPr="00DD0095">
        <w:rPr>
          <w:rFonts w:ascii="Arial" w:eastAsia="Arial Unicode MS" w:hAnsi="Arial" w:cs="Arial Unicode MS"/>
          <w:color w:val="000000"/>
          <w:sz w:val="18"/>
          <w:szCs w:val="18"/>
          <w:u w:color="000000"/>
          <w:lang w:eastAsia="zh-CN" w:bidi="hi-IN"/>
        </w:rPr>
        <w:t xml:space="preserve"> </w:t>
      </w:r>
      <w:r w:rsidRPr="00DD0095">
        <w:rPr>
          <w:rFonts w:ascii="Arial" w:eastAsiaTheme="minorHAnsi" w:hAnsi="Arial" w:cs="Arial"/>
          <w:sz w:val="18"/>
          <w:szCs w:val="18"/>
          <w:lang w:eastAsia="en-US"/>
        </w:rPr>
        <w:t>W przypadku, gdy usunięcie wady, awarii (usterki) w terminie przewidzianym w ust. 15 nie będzie możliwe, np. wobec konieczności sprowadzenia części zamiennych lub podzespołów z zagranicy, strony uzgodnią nowy termin naprawy, który będzie terminem wiążącym”</w:t>
      </w:r>
    </w:p>
    <w:p w:rsidR="006734FE" w:rsidRPr="00DD0095" w:rsidRDefault="006734FE" w:rsidP="006734FE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6734FE" w:rsidRPr="00DD0095" w:rsidRDefault="006734FE" w:rsidP="006734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Załącznik 7 do SIWZ, § 8 dopisuje się ust. 20, i 21, które otrzymuje brzmienie:</w:t>
      </w:r>
    </w:p>
    <w:p w:rsidR="006734FE" w:rsidRPr="00DD0095" w:rsidRDefault="006734FE" w:rsidP="006734FE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>„20. W przypadku braku możliwości dochowania terminów, o których mowa w ust. 16 i 17 Zamawiający dopuszcza podstawienie sprzętu zastępczego w okresie gwarancji na czas trwania usuwania wad, awarii (usterek), o których mowa w ust. 16 lub naprawy, o której mowa w ust. 17.</w:t>
      </w:r>
    </w:p>
    <w:p w:rsidR="006734FE" w:rsidRPr="00DD0095" w:rsidRDefault="006734FE" w:rsidP="006734FE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>21. Bezpłatna wymiana części oraz usuwanie awarii i usterek i naprawy w okresie gwarancji, o których mowa w niniejszym paragrafie dotyczy tylko tych awarii/usterek i napraw, które nie powstały z winy Zamawiającego przez niezgodne z instrukcją użytkowania sprzętu w języku polskim.”</w:t>
      </w:r>
    </w:p>
    <w:p w:rsidR="006734FE" w:rsidRPr="00DD0095" w:rsidRDefault="006734FE" w:rsidP="006734FE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F0606F" w:rsidRPr="00DD0095" w:rsidRDefault="00F0606F" w:rsidP="00F060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Załącznik 7 do SIWZ, § 9 ust. 4 otrzymuje brzmienie:</w:t>
      </w:r>
    </w:p>
    <w:p w:rsidR="00F0606F" w:rsidRPr="00DD0095" w:rsidRDefault="00F0606F" w:rsidP="00F0606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Style w:val="Brak"/>
          <w:rFonts w:ascii="Arial" w:hAnsi="Arial"/>
          <w:sz w:val="18"/>
          <w:szCs w:val="18"/>
        </w:rPr>
        <w:t xml:space="preserve">„4. W przypadku przekroczenia terminu naprawy/usunięcia, wady, awarii (usterki) wynikających z § 8 ust. 16 i 17 umowy, </w:t>
      </w:r>
      <w:r w:rsidRPr="00DD0095">
        <w:rPr>
          <w:rStyle w:val="Brak"/>
          <w:rFonts w:ascii="Arial" w:hAnsi="Arial"/>
          <w:sz w:val="18"/>
          <w:szCs w:val="18"/>
          <w:u w:color="FF0000"/>
        </w:rPr>
        <w:t>a także podjęcia czynności serwisowych wynikających z § 8 ust. 18</w:t>
      </w:r>
      <w:r w:rsidRPr="00DD0095">
        <w:rPr>
          <w:rStyle w:val="Brak"/>
          <w:rFonts w:ascii="Arial" w:hAnsi="Arial"/>
          <w:b/>
          <w:bCs/>
          <w:sz w:val="18"/>
          <w:szCs w:val="18"/>
          <w:u w:color="FF0000"/>
        </w:rPr>
        <w:t xml:space="preserve"> </w:t>
      </w:r>
      <w:r w:rsidRPr="00DD0095">
        <w:rPr>
          <w:rStyle w:val="Brak"/>
          <w:rFonts w:ascii="Arial" w:hAnsi="Arial"/>
          <w:sz w:val="18"/>
          <w:szCs w:val="18"/>
        </w:rPr>
        <w:t xml:space="preserve">Wykonawca zapłaci Zamawiającemu karę umowną w wysokości 0,05% wynagrodzenia umownego brutto, o którym mowa </w:t>
      </w:r>
      <w:r w:rsidRPr="00DD0095">
        <w:rPr>
          <w:rStyle w:val="Brak"/>
          <w:rFonts w:ascii="Arial Unicode MS" w:hAnsi="Arial Unicode MS"/>
          <w:sz w:val="18"/>
          <w:szCs w:val="18"/>
        </w:rPr>
        <w:br/>
      </w:r>
      <w:r w:rsidRPr="00DD0095">
        <w:rPr>
          <w:rStyle w:val="Brak"/>
          <w:rFonts w:ascii="Arial" w:hAnsi="Arial"/>
          <w:sz w:val="18"/>
          <w:szCs w:val="18"/>
        </w:rPr>
        <w:t>w § 2 ust.1 niniejszej umowy, za każdy dzień opóźnienia,   z zastrzeżeniem ust. 20 § 8 niniejszej umowy</w:t>
      </w:r>
      <w:r w:rsidR="00A841BD" w:rsidRPr="00DD0095">
        <w:rPr>
          <w:rStyle w:val="Brak"/>
          <w:rFonts w:ascii="Arial" w:hAnsi="Arial"/>
          <w:sz w:val="18"/>
          <w:szCs w:val="18"/>
        </w:rPr>
        <w:t>”</w:t>
      </w:r>
    </w:p>
    <w:p w:rsidR="00F0606F" w:rsidRPr="00DD0095" w:rsidRDefault="00F0606F" w:rsidP="00F0606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F0606F" w:rsidRPr="00DD0095" w:rsidRDefault="00F0606F" w:rsidP="00F060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Załącznik 7 do SIWZ, § 8 ust. 17 otrzymuje brzmienie:</w:t>
      </w:r>
    </w:p>
    <w:p w:rsidR="00F0606F" w:rsidRPr="00DD0095" w:rsidRDefault="00F0606F" w:rsidP="00F0606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>„17.</w:t>
      </w:r>
      <w:r w:rsidRPr="00DD0095">
        <w:rPr>
          <w:rFonts w:ascii="Arial" w:eastAsiaTheme="minorHAnsi" w:hAnsi="Arial" w:cs="Arial"/>
          <w:sz w:val="18"/>
          <w:szCs w:val="18"/>
          <w:lang w:eastAsia="en-US"/>
        </w:rPr>
        <w:tab/>
        <w:t>Strony zgodnie postanawiają, iż jeżeli w terminie gwarancyjnym poszczególne urządzenia/części (podzespołów) będą wymagały 4 napraw, rozumianych jako naprawienie tego samego urządzenia lub części lub ich wymianę, powodujących przestój w pracy min. 7 dni roboczych, Zamawiającemu będzie przysługiwało prawo do żądania wymiany ww. urządzeniu/części na fabrycznie nowe. Wymiana nastąpi w terminie 10 tygodni od daty zgłoszenia wad występujących po trzeciej naprawie.</w:t>
      </w:r>
      <w:r w:rsidR="00A841BD" w:rsidRPr="00DD0095">
        <w:rPr>
          <w:rFonts w:ascii="Arial" w:eastAsiaTheme="minorHAnsi" w:hAnsi="Arial" w:cs="Arial"/>
          <w:sz w:val="18"/>
          <w:szCs w:val="18"/>
          <w:lang w:eastAsia="en-US"/>
        </w:rPr>
        <w:t>”</w:t>
      </w:r>
    </w:p>
    <w:p w:rsidR="00A841BD" w:rsidRPr="00DD0095" w:rsidRDefault="00A841BD" w:rsidP="00A841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lastRenderedPageBreak/>
        <w:t>Załącznik 7 do SIWZ, § 8 ust. 18 otrzymuje brzmienie:</w:t>
      </w:r>
    </w:p>
    <w:p w:rsidR="00F0606F" w:rsidRPr="00DD0095" w:rsidRDefault="00A841BD" w:rsidP="00A841BD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sz w:val="18"/>
          <w:szCs w:val="18"/>
          <w:lang w:eastAsia="en-US"/>
        </w:rPr>
        <w:t>„18.</w:t>
      </w:r>
      <w:r w:rsidRPr="00DD0095">
        <w:rPr>
          <w:rFonts w:ascii="Arial" w:eastAsiaTheme="minorHAnsi" w:hAnsi="Arial" w:cs="Arial"/>
          <w:sz w:val="18"/>
          <w:szCs w:val="18"/>
          <w:lang w:eastAsia="en-US"/>
        </w:rPr>
        <w:tab/>
        <w:t>Wykonawca zapewni serwisy gwarancyjne i pogwarancyjne, tj. podjęcie czynności serwisowych (rozumianych jako przyjazd serwisu) w ciągu 2 dni roboczych od dnia powiadomienia – pisemnego lub elektronicznego.”</w:t>
      </w:r>
    </w:p>
    <w:p w:rsidR="00A841BD" w:rsidRPr="00DD0095" w:rsidRDefault="00A841BD" w:rsidP="00A841BD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DD0095" w:rsidRDefault="00AF1D75" w:rsidP="00F060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DD0095">
        <w:rPr>
          <w:rFonts w:ascii="Arial" w:eastAsiaTheme="minorHAnsi" w:hAnsi="Arial" w:cs="Arial"/>
          <w:b/>
          <w:sz w:val="18"/>
          <w:szCs w:val="18"/>
          <w:lang w:eastAsia="en-US"/>
        </w:rPr>
        <w:t>Pozostałe postanowienia SIWZ pozostają bez zmian.</w:t>
      </w:r>
    </w:p>
    <w:p w:rsidR="007B0F2C" w:rsidRPr="00DD0095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DD0095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DD0095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DD0095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DD0095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A2F"/>
    <w:multiLevelType w:val="multilevel"/>
    <w:tmpl w:val="F5AC7A8E"/>
    <w:lvl w:ilvl="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426" w:hanging="426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851" w:hanging="426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16"/>
        </w:tabs>
        <w:ind w:left="1559" w:hanging="5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124"/>
        </w:tabs>
        <w:ind w:left="2267" w:hanging="5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32"/>
        </w:tabs>
        <w:ind w:left="2975" w:hanging="47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683" w:hanging="55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4248"/>
        </w:tabs>
        <w:ind w:left="4391" w:hanging="54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4956"/>
        </w:tabs>
        <w:ind w:left="5099" w:hanging="43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D671F5"/>
    <w:multiLevelType w:val="multilevel"/>
    <w:tmpl w:val="1E4CC084"/>
    <w:lvl w:ilvl="0">
      <w:start w:val="1"/>
      <w:numFmt w:val="decimal"/>
      <w:lvlText w:val="%1."/>
      <w:lvlJc w:val="left"/>
      <w:pPr>
        <w:tabs>
          <w:tab w:val="num" w:pos="360"/>
        </w:tabs>
        <w:ind w:left="266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0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2133" w:hanging="241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44" w:hanging="324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7"/>
      <w:numFmt w:val="decimal"/>
      <w:lvlText w:val="%5."/>
      <w:lvlJc w:val="left"/>
      <w:pPr>
        <w:ind w:left="426" w:hanging="426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5">
      <w:start w:val="1"/>
      <w:numFmt w:val="lowerRoman"/>
      <w:lvlText w:val="%6."/>
      <w:lvlJc w:val="left"/>
      <w:pPr>
        <w:ind w:left="3505" w:hanging="350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600" w:hanging="360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3600" w:hanging="360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3505" w:hanging="3505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E27BDF"/>
    <w:multiLevelType w:val="hybridMultilevel"/>
    <w:tmpl w:val="C9C2BD10"/>
    <w:lvl w:ilvl="0" w:tplc="5900EFD2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9C2383"/>
    <w:multiLevelType w:val="hybridMultilevel"/>
    <w:tmpl w:val="B336A4D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D0BF2"/>
    <w:rsid w:val="00183D58"/>
    <w:rsid w:val="001D791E"/>
    <w:rsid w:val="00281752"/>
    <w:rsid w:val="003104B6"/>
    <w:rsid w:val="00404F6F"/>
    <w:rsid w:val="004F1796"/>
    <w:rsid w:val="005078F9"/>
    <w:rsid w:val="00531B5D"/>
    <w:rsid w:val="00640A4F"/>
    <w:rsid w:val="00652C1B"/>
    <w:rsid w:val="006734FE"/>
    <w:rsid w:val="006D2ACC"/>
    <w:rsid w:val="007B0F2C"/>
    <w:rsid w:val="008A2C41"/>
    <w:rsid w:val="00907913"/>
    <w:rsid w:val="009E7977"/>
    <w:rsid w:val="009F33E5"/>
    <w:rsid w:val="00A841BD"/>
    <w:rsid w:val="00AF1D75"/>
    <w:rsid w:val="00B11CB5"/>
    <w:rsid w:val="00B351FF"/>
    <w:rsid w:val="00B472C1"/>
    <w:rsid w:val="00BA4F99"/>
    <w:rsid w:val="00C3768C"/>
    <w:rsid w:val="00CA0B26"/>
    <w:rsid w:val="00D47DCA"/>
    <w:rsid w:val="00DD0095"/>
    <w:rsid w:val="00E31ECF"/>
    <w:rsid w:val="00E529AA"/>
    <w:rsid w:val="00F0606F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Brak">
    <w:name w:val="Brak"/>
    <w:qFormat/>
    <w:rsid w:val="00F0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8</cp:revision>
  <cp:lastPrinted>2020-02-12T11:44:00Z</cp:lastPrinted>
  <dcterms:created xsi:type="dcterms:W3CDTF">2020-04-24T08:38:00Z</dcterms:created>
  <dcterms:modified xsi:type="dcterms:W3CDTF">2020-09-17T07:24:00Z</dcterms:modified>
</cp:coreProperties>
</file>