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BDB" w:rsidRDefault="00B83A9B">
      <w:r>
        <w:t>Zmiana w OPZ</w:t>
      </w:r>
    </w:p>
    <w:p w:rsidR="00B83A9B" w:rsidRPr="00B83A9B" w:rsidRDefault="00B83A9B" w:rsidP="00B83A9B">
      <w:pPr>
        <w:spacing w:before="120"/>
        <w:jc w:val="both"/>
        <w:rPr>
          <w:rFonts w:cs="Arial"/>
          <w:lang w:eastAsia="pl-PL"/>
        </w:rPr>
      </w:pPr>
      <w:r w:rsidRPr="00B83A9B">
        <w:rPr>
          <w:rFonts w:cs="Arial"/>
          <w:lang w:eastAsia="pl-PL"/>
        </w:rPr>
        <w:t xml:space="preserve">W szafach PPD projektuje się przełączniki sieciowe o pojemności 24 portów, z możliwością </w:t>
      </w:r>
      <w:proofErr w:type="spellStart"/>
      <w:r w:rsidRPr="00B83A9B">
        <w:rPr>
          <w:rFonts w:cs="Arial"/>
          <w:lang w:eastAsia="pl-PL"/>
        </w:rPr>
        <w:t>stackowania</w:t>
      </w:r>
      <w:proofErr w:type="spellEnd"/>
      <w:r w:rsidRPr="00B83A9B">
        <w:rPr>
          <w:rFonts w:cs="Arial"/>
          <w:lang w:eastAsia="pl-PL"/>
        </w:rPr>
        <w:t xml:space="preserve"> (niezależne porty) oraz wyposażonych w minimum 2 dodatkowe porty 10G, pozwalające na agregacje połączeń z urządzeniami w GPD. Aktualnie Zamawiający korzysta z przełączników serii </w:t>
      </w:r>
      <w:proofErr w:type="spellStart"/>
      <w:r w:rsidRPr="00B83A9B">
        <w:rPr>
          <w:rFonts w:cs="Arial"/>
          <w:lang w:eastAsia="pl-PL"/>
        </w:rPr>
        <w:t>Catalyst</w:t>
      </w:r>
      <w:proofErr w:type="spellEnd"/>
      <w:r w:rsidRPr="00B83A9B">
        <w:rPr>
          <w:rFonts w:cs="Arial"/>
          <w:lang w:eastAsia="pl-PL"/>
        </w:rPr>
        <w:t xml:space="preserve"> 9200L.</w:t>
      </w:r>
    </w:p>
    <w:p w:rsidR="00B83A9B" w:rsidRPr="00B83A9B" w:rsidRDefault="00B83A9B" w:rsidP="00B83A9B">
      <w:pPr>
        <w:jc w:val="both"/>
        <w:rPr>
          <w:rFonts w:cs="Arial"/>
          <w:lang w:eastAsia="pl-PL"/>
        </w:rPr>
      </w:pPr>
      <w:r w:rsidRPr="00B83A9B">
        <w:rPr>
          <w:rFonts w:cs="Arial"/>
          <w:lang w:eastAsia="pl-PL"/>
        </w:rPr>
        <w:t xml:space="preserve">W Głównym Punkcie Dystrybucyjnym projektuje się rozbudowę już istniejącego rdzenia sieci o nowe przełączniki, z portami światłowodowymi umożliwiające agregację połączeń o przepustowości 10G z przełączników znajdujących się w punktach dystrybucyjnych nowoprojektowanego skrzydła „C”. W istniejącej serwerowni są już zainstalowane trzy przełączniki Cisco </w:t>
      </w:r>
      <w:proofErr w:type="spellStart"/>
      <w:r w:rsidRPr="00B83A9B">
        <w:rPr>
          <w:rFonts w:cs="Arial"/>
          <w:lang w:eastAsia="pl-PL"/>
        </w:rPr>
        <w:t>Catalyst</w:t>
      </w:r>
      <w:proofErr w:type="spellEnd"/>
      <w:r w:rsidRPr="00B83A9B">
        <w:rPr>
          <w:rFonts w:cs="Arial"/>
          <w:lang w:eastAsia="pl-PL"/>
        </w:rPr>
        <w:t xml:space="preserve"> </w:t>
      </w:r>
      <w:r w:rsidRPr="00B83A9B">
        <w:t>WS-C3850-24T z modułem C3850-NM-2-10G</w:t>
      </w:r>
      <w:r w:rsidRPr="00B83A9B">
        <w:rPr>
          <w:rFonts w:cs="Arial"/>
          <w:lang w:eastAsia="pl-PL"/>
        </w:rPr>
        <w:t>, nowoprojektowane urządzenia</w:t>
      </w:r>
      <w:r w:rsidR="00795EA8">
        <w:rPr>
          <w:rFonts w:cs="Arial"/>
          <w:lang w:eastAsia="pl-PL"/>
        </w:rPr>
        <w:t xml:space="preserve"> w rdzeniu</w:t>
      </w:r>
      <w:r w:rsidRPr="00B83A9B">
        <w:rPr>
          <w:rFonts w:cs="Arial"/>
          <w:lang w:eastAsia="pl-PL"/>
        </w:rPr>
        <w:t xml:space="preserve"> powinny umożliwiać połączenie w stos wszystkich przełączników (nowoprojektowanych i istniejących). </w:t>
      </w:r>
    </w:p>
    <w:p w:rsidR="00B83A9B" w:rsidRPr="00B83A9B" w:rsidRDefault="00B83A9B" w:rsidP="00B83A9B">
      <w:pPr>
        <w:jc w:val="both"/>
        <w:rPr>
          <w:rFonts w:cs="Arial"/>
          <w:lang w:eastAsia="pl-PL"/>
        </w:rPr>
      </w:pPr>
      <w:r w:rsidRPr="00B83A9B">
        <w:t>W razie braku dostępności przełączników umożliwiających połączenie w stos z już posiadanymi urządzeniami w rdzeniu (w głównej szafie dystrybucyjnej w istniejącej serwerowni), należy istniejące urządzenia w rdzeniu zastąpić rozwiązaniem równorzędnym (wymienić).</w:t>
      </w:r>
    </w:p>
    <w:p w:rsidR="00B83A9B" w:rsidRPr="00B83A9B" w:rsidRDefault="00B83A9B" w:rsidP="00B83A9B">
      <w:pPr>
        <w:jc w:val="both"/>
        <w:rPr>
          <w:rFonts w:cs="Arial"/>
          <w:lang w:eastAsia="pl-PL"/>
        </w:rPr>
      </w:pPr>
      <w:r w:rsidRPr="00B83A9B">
        <w:rPr>
          <w:rFonts w:cs="Arial"/>
          <w:lang w:eastAsia="pl-PL"/>
        </w:rPr>
        <w:t>Urządzenia należy dostarczyć wraz ze wszystkimi kablami łączeniowym</w:t>
      </w:r>
      <w:r w:rsidR="00795EA8">
        <w:rPr>
          <w:rFonts w:cs="Arial"/>
          <w:lang w:eastAsia="pl-PL"/>
        </w:rPr>
        <w:t xml:space="preserve">i (w tym kablami do </w:t>
      </w:r>
      <w:proofErr w:type="spellStart"/>
      <w:r w:rsidR="00795EA8">
        <w:rPr>
          <w:rFonts w:cs="Arial"/>
          <w:lang w:eastAsia="pl-PL"/>
        </w:rPr>
        <w:t>stackowania</w:t>
      </w:r>
      <w:proofErr w:type="spellEnd"/>
      <w:r w:rsidR="00795EA8">
        <w:rPr>
          <w:rFonts w:cs="Arial"/>
          <w:lang w:eastAsia="pl-PL"/>
        </w:rPr>
        <w:t xml:space="preserve"> - </w:t>
      </w:r>
      <w:r w:rsidRPr="00B83A9B">
        <w:rPr>
          <w:rFonts w:cs="Arial"/>
          <w:lang w:eastAsia="pl-PL"/>
        </w:rPr>
        <w:t>urządzenia w rdzeniu) oraz wkładkami światłowodowymi.</w:t>
      </w:r>
    </w:p>
    <w:p w:rsidR="00B83A9B" w:rsidRPr="00B83A9B" w:rsidRDefault="00B83A9B" w:rsidP="00B83A9B">
      <w:pPr>
        <w:jc w:val="both"/>
        <w:rPr>
          <w:rFonts w:cs="Arial"/>
          <w:lang w:eastAsia="pl-PL"/>
        </w:rPr>
      </w:pPr>
      <w:r w:rsidRPr="00B83A9B">
        <w:rPr>
          <w:rFonts w:cs="Arial"/>
          <w:lang w:eastAsia="pl-PL"/>
        </w:rPr>
        <w:t xml:space="preserve">Przełączniki w rdzeniu muszą być doposażone w moduły do </w:t>
      </w:r>
      <w:proofErr w:type="spellStart"/>
      <w:r w:rsidRPr="00B83A9B">
        <w:rPr>
          <w:rFonts w:cs="Arial"/>
          <w:lang w:eastAsia="pl-PL"/>
        </w:rPr>
        <w:t>stackowania</w:t>
      </w:r>
      <w:proofErr w:type="spellEnd"/>
      <w:r w:rsidRPr="00B83A9B">
        <w:rPr>
          <w:rFonts w:cs="Arial"/>
          <w:lang w:eastAsia="pl-PL"/>
        </w:rPr>
        <w:t xml:space="preserve">. </w:t>
      </w:r>
    </w:p>
    <w:p w:rsidR="00B83A9B" w:rsidRPr="00B83A9B" w:rsidRDefault="00B83A9B" w:rsidP="00B83A9B">
      <w:pPr>
        <w:jc w:val="both"/>
        <w:rPr>
          <w:rFonts w:cs="Arial"/>
          <w:lang w:eastAsia="pl-PL"/>
        </w:rPr>
      </w:pPr>
      <w:r w:rsidRPr="00B83A9B">
        <w:rPr>
          <w:rFonts w:cs="Arial"/>
          <w:lang w:eastAsia="pl-PL"/>
        </w:rPr>
        <w:t xml:space="preserve">W przypadku zastosowania rozwiązań równoważnych do urządzeń posiadanych przez Zamawiającego, wykonawca zobowiązany jest do uzyskania akceptacji Zamawiającego. Zamawiający zastrzega sobie prawo, że w przypadku przedstawienia rozwiązań zamiennych, które nie będą spełniać wymogów pełnej kompatybilności z już posiadanymi rozwiązaniami lub założeń Zamawiającego może wymagać zastosowania rozwiązań w pełni kompatybilnych.  </w:t>
      </w:r>
    </w:p>
    <w:p w:rsidR="00B83A9B" w:rsidRPr="00B83A9B" w:rsidRDefault="00B83A9B" w:rsidP="00B83A9B">
      <w:pPr>
        <w:jc w:val="both"/>
        <w:rPr>
          <w:rFonts w:cs="Arial"/>
          <w:u w:val="single"/>
        </w:rPr>
      </w:pPr>
    </w:p>
    <w:p w:rsidR="00B83A9B" w:rsidRPr="00B83A9B" w:rsidRDefault="00B83A9B" w:rsidP="00B83A9B">
      <w:pPr>
        <w:jc w:val="both"/>
        <w:rPr>
          <w:rFonts w:cs="Arial"/>
          <w:u w:val="single"/>
        </w:rPr>
      </w:pPr>
      <w:r w:rsidRPr="00B83A9B">
        <w:rPr>
          <w:rFonts w:cs="Arial"/>
          <w:u w:val="single"/>
        </w:rPr>
        <w:t>Przełączniki sieciowe o wymaganiach minimalnych:</w:t>
      </w:r>
    </w:p>
    <w:p w:rsidR="00B83A9B" w:rsidRPr="00B83A9B" w:rsidRDefault="00B83A9B" w:rsidP="00B83A9B">
      <w:pPr>
        <w:jc w:val="both"/>
        <w:rPr>
          <w:rFonts w:cs="Arial"/>
          <w:u w:val="single"/>
        </w:rPr>
      </w:pPr>
      <w:r w:rsidRPr="00B83A9B">
        <w:rPr>
          <w:rFonts w:cs="Arial"/>
        </w:rPr>
        <w:t xml:space="preserve">- </w:t>
      </w:r>
      <w:r w:rsidRPr="00B83A9B">
        <w:t xml:space="preserve">24 porty 10/100/1000BaseT RJ-45 </w:t>
      </w:r>
      <w:proofErr w:type="spellStart"/>
      <w:r w:rsidRPr="00B83A9B">
        <w:t>PoE</w:t>
      </w:r>
      <w:proofErr w:type="spellEnd"/>
      <w:r w:rsidRPr="00B83A9B">
        <w:t xml:space="preserve">+ (zgodne z IEEE 802.3at) + </w:t>
      </w:r>
      <w:proofErr w:type="spellStart"/>
      <w:r w:rsidRPr="00B83A9B">
        <w:t>uplink</w:t>
      </w:r>
      <w:proofErr w:type="spellEnd"/>
      <w:r w:rsidRPr="00B83A9B">
        <w:t xml:space="preserve"> 4x10G SFP+</w:t>
      </w:r>
    </w:p>
    <w:p w:rsidR="00B83A9B" w:rsidRPr="00B83A9B" w:rsidRDefault="00B83A9B" w:rsidP="00B83A9B">
      <w:pPr>
        <w:jc w:val="both"/>
        <w:rPr>
          <w:rFonts w:cs="Arial"/>
          <w:lang w:eastAsia="pl-PL"/>
        </w:rPr>
      </w:pPr>
      <w:r w:rsidRPr="00B83A9B">
        <w:t xml:space="preserve">- </w:t>
      </w:r>
      <w:r w:rsidRPr="00B83A9B">
        <w:rPr>
          <w:rFonts w:cs="Arial"/>
          <w:lang w:eastAsia="pl-PL"/>
        </w:rPr>
        <w:t>Przełącznik musi posiadać dodatkowy moduł rozbudowujący jego funkcjonalność o dodatkowe porty SFP+. Dodatkowe porty muszą być w pełni niezależne od portów podstawowych i muszą być dostępne z przodu urządzenia</w:t>
      </w:r>
    </w:p>
    <w:p w:rsidR="00B83A9B" w:rsidRPr="00B83A9B" w:rsidRDefault="00B83A9B" w:rsidP="00B83A9B">
      <w:pPr>
        <w:jc w:val="both"/>
        <w:rPr>
          <w:rFonts w:cs="Arial"/>
          <w:lang w:eastAsia="pl-PL"/>
        </w:rPr>
      </w:pPr>
      <w:r w:rsidRPr="00B83A9B">
        <w:rPr>
          <w:rFonts w:cs="Arial"/>
          <w:lang w:eastAsia="pl-PL"/>
        </w:rPr>
        <w:t xml:space="preserve">- Przełącznik musi być wyposażony w kompatybilne wkładki min. SFP+ </w:t>
      </w:r>
    </w:p>
    <w:p w:rsidR="00B83A9B" w:rsidRPr="00B83A9B" w:rsidRDefault="00B83A9B" w:rsidP="00B83A9B">
      <w:pPr>
        <w:spacing w:line="256" w:lineRule="auto"/>
        <w:ind w:left="1"/>
      </w:pPr>
      <w:r w:rsidRPr="00B83A9B">
        <w:t xml:space="preserve">- Moc dostępna dla </w:t>
      </w:r>
      <w:proofErr w:type="spellStart"/>
      <w:r w:rsidRPr="00B83A9B">
        <w:t>PoE</w:t>
      </w:r>
      <w:proofErr w:type="spellEnd"/>
      <w:r w:rsidRPr="00B83A9B">
        <w:t>: min. 360W (z dwóch zasilaczy pracujących w układzie redundantnym)</w:t>
      </w:r>
    </w:p>
    <w:p w:rsidR="00B83A9B" w:rsidRPr="00B83A9B" w:rsidRDefault="00B83A9B" w:rsidP="00B83A9B">
      <w:pPr>
        <w:spacing w:line="256" w:lineRule="auto"/>
        <w:ind w:left="1"/>
      </w:pPr>
      <w:r w:rsidRPr="00B83A9B">
        <w:t xml:space="preserve">- Zasilanie redundantne AC 230V. Zasilacze wymienne (możliwość instalacji/wymiany „na gorąco” – ang. hot </w:t>
      </w:r>
      <w:proofErr w:type="spellStart"/>
      <w:r w:rsidRPr="00B83A9B">
        <w:t>swap</w:t>
      </w:r>
      <w:proofErr w:type="spellEnd"/>
      <w:r w:rsidRPr="00B83A9B">
        <w:t>)</w:t>
      </w:r>
    </w:p>
    <w:p w:rsidR="00B83A9B" w:rsidRPr="00B83A9B" w:rsidRDefault="00B83A9B" w:rsidP="00B83A9B">
      <w:pPr>
        <w:spacing w:line="256" w:lineRule="auto"/>
        <w:ind w:left="1"/>
      </w:pPr>
      <w:r w:rsidRPr="00B83A9B">
        <w:t xml:space="preserve">- Możliwość </w:t>
      </w:r>
      <w:proofErr w:type="spellStart"/>
      <w:r w:rsidRPr="00B83A9B">
        <w:t>stackowania</w:t>
      </w:r>
      <w:proofErr w:type="spellEnd"/>
      <w:r w:rsidRPr="00B83A9B">
        <w:t>:</w:t>
      </w:r>
    </w:p>
    <w:p w:rsidR="00B83A9B" w:rsidRPr="00B83A9B" w:rsidRDefault="00B83A9B" w:rsidP="00B83A9B">
      <w:pPr>
        <w:spacing w:line="256" w:lineRule="auto"/>
        <w:ind w:left="284"/>
      </w:pPr>
      <w:r w:rsidRPr="00B83A9B">
        <w:t>• 8 urządzeń w stosie</w:t>
      </w:r>
    </w:p>
    <w:p w:rsidR="00B83A9B" w:rsidRPr="00B83A9B" w:rsidRDefault="00B83A9B" w:rsidP="00B83A9B">
      <w:pPr>
        <w:spacing w:line="256" w:lineRule="auto"/>
        <w:ind w:left="284"/>
      </w:pPr>
      <w:r w:rsidRPr="00B83A9B">
        <w:t>• Zarządzanie poprzez jeden adres IP</w:t>
      </w:r>
    </w:p>
    <w:p w:rsidR="00B83A9B" w:rsidRPr="00B83A9B" w:rsidRDefault="00B83A9B" w:rsidP="00B83A9B">
      <w:pPr>
        <w:jc w:val="both"/>
      </w:pPr>
      <w:r w:rsidRPr="00B83A9B">
        <w:t>- Wsparcie mechanizmu zapewnienia ciągłości pracy sieci:</w:t>
      </w:r>
      <w:r w:rsidRPr="00B83A9B">
        <w:tab/>
      </w:r>
    </w:p>
    <w:p w:rsidR="00B83A9B" w:rsidRPr="00B83A9B" w:rsidRDefault="00B83A9B" w:rsidP="00B83A9B">
      <w:pPr>
        <w:ind w:left="284"/>
        <w:jc w:val="both"/>
      </w:pPr>
      <w:r w:rsidRPr="00B83A9B">
        <w:t xml:space="preserve">• EEE 802.1w </w:t>
      </w:r>
      <w:proofErr w:type="spellStart"/>
      <w:r w:rsidRPr="00B83A9B">
        <w:t>Rapid</w:t>
      </w:r>
      <w:proofErr w:type="spellEnd"/>
      <w:r w:rsidRPr="00B83A9B">
        <w:t xml:space="preserve"> </w:t>
      </w:r>
      <w:proofErr w:type="spellStart"/>
      <w:r w:rsidRPr="00B83A9B">
        <w:t>Spanning</w:t>
      </w:r>
      <w:proofErr w:type="spellEnd"/>
      <w:r w:rsidRPr="00B83A9B">
        <w:t xml:space="preserve"> </w:t>
      </w:r>
      <w:proofErr w:type="spellStart"/>
      <w:r w:rsidRPr="00B83A9B">
        <w:t>Tree</w:t>
      </w:r>
      <w:proofErr w:type="spellEnd"/>
    </w:p>
    <w:p w:rsidR="00B83A9B" w:rsidRPr="00B83A9B" w:rsidRDefault="00B83A9B" w:rsidP="00B83A9B">
      <w:pPr>
        <w:ind w:left="284"/>
        <w:jc w:val="both"/>
      </w:pPr>
      <w:r w:rsidRPr="00B83A9B">
        <w:t xml:space="preserve">• Per-VLAN </w:t>
      </w:r>
      <w:proofErr w:type="spellStart"/>
      <w:r w:rsidRPr="00B83A9B">
        <w:t>Rapid</w:t>
      </w:r>
      <w:proofErr w:type="spellEnd"/>
      <w:r w:rsidRPr="00B83A9B">
        <w:t xml:space="preserve"> </w:t>
      </w:r>
      <w:proofErr w:type="spellStart"/>
      <w:r w:rsidRPr="00B83A9B">
        <w:t>Spanning</w:t>
      </w:r>
      <w:proofErr w:type="spellEnd"/>
      <w:r w:rsidRPr="00B83A9B">
        <w:t xml:space="preserve"> </w:t>
      </w:r>
      <w:proofErr w:type="spellStart"/>
      <w:r w:rsidRPr="00B83A9B">
        <w:t>Tree</w:t>
      </w:r>
      <w:proofErr w:type="spellEnd"/>
      <w:r w:rsidRPr="00B83A9B">
        <w:t xml:space="preserve"> (PVRST+)</w:t>
      </w:r>
    </w:p>
    <w:p w:rsidR="00B83A9B" w:rsidRPr="00B83A9B" w:rsidRDefault="00B83A9B" w:rsidP="00B83A9B">
      <w:pPr>
        <w:ind w:left="284"/>
        <w:jc w:val="both"/>
      </w:pPr>
      <w:r w:rsidRPr="00B83A9B">
        <w:lastRenderedPageBreak/>
        <w:t>• IEEE 802.1s Multi-</w:t>
      </w:r>
      <w:proofErr w:type="spellStart"/>
      <w:r w:rsidRPr="00B83A9B">
        <w:t>Instance</w:t>
      </w:r>
      <w:proofErr w:type="spellEnd"/>
      <w:r w:rsidRPr="00B83A9B">
        <w:t xml:space="preserve"> </w:t>
      </w:r>
      <w:proofErr w:type="spellStart"/>
      <w:r w:rsidRPr="00B83A9B">
        <w:t>Spanning</w:t>
      </w:r>
      <w:proofErr w:type="spellEnd"/>
      <w:r w:rsidRPr="00B83A9B">
        <w:t xml:space="preserve"> </w:t>
      </w:r>
      <w:proofErr w:type="spellStart"/>
      <w:r w:rsidRPr="00B83A9B">
        <w:t>Tree</w:t>
      </w:r>
      <w:proofErr w:type="spellEnd"/>
    </w:p>
    <w:p w:rsidR="00B83A9B" w:rsidRPr="00B83A9B" w:rsidRDefault="00B83A9B" w:rsidP="00B83A9B">
      <w:pPr>
        <w:jc w:val="both"/>
      </w:pPr>
      <w:r w:rsidRPr="00B83A9B">
        <w:t>- Obsługa funkcji Voice VLAN umożliwiającej odseparowanie ruchu danych i ruchu głosowego</w:t>
      </w:r>
    </w:p>
    <w:p w:rsidR="00B83A9B" w:rsidRPr="00B83A9B" w:rsidRDefault="00B83A9B" w:rsidP="00B83A9B">
      <w:pPr>
        <w:jc w:val="both"/>
      </w:pPr>
      <w:r w:rsidRPr="00B83A9B">
        <w:t>- Możliwość uruchomienia funkcji serwera DHCP</w:t>
      </w:r>
    </w:p>
    <w:p w:rsidR="00B83A9B" w:rsidRPr="00B83A9B" w:rsidRDefault="00B83A9B" w:rsidP="00B83A9B">
      <w:pPr>
        <w:jc w:val="both"/>
        <w:rPr>
          <w:rFonts w:cs="Arial"/>
        </w:rPr>
      </w:pPr>
      <w:r w:rsidRPr="00B83A9B">
        <w:rPr>
          <w:rFonts w:cs="Arial"/>
        </w:rPr>
        <w:t>- Zarządzanie:</w:t>
      </w:r>
    </w:p>
    <w:p w:rsidR="00B83A9B" w:rsidRPr="00B83A9B" w:rsidRDefault="00B83A9B" w:rsidP="00B83A9B">
      <w:pPr>
        <w:ind w:left="284"/>
        <w:jc w:val="both"/>
        <w:rPr>
          <w:rFonts w:cs="Arial"/>
        </w:rPr>
      </w:pPr>
      <w:r w:rsidRPr="00B83A9B">
        <w:rPr>
          <w:rFonts w:cs="Arial"/>
        </w:rPr>
        <w:t>• Port konsoli,</w:t>
      </w:r>
    </w:p>
    <w:p w:rsidR="00B83A9B" w:rsidRPr="00B83A9B" w:rsidRDefault="00B83A9B" w:rsidP="00B83A9B">
      <w:pPr>
        <w:ind w:left="284"/>
        <w:jc w:val="both"/>
        <w:rPr>
          <w:rFonts w:cs="Arial"/>
        </w:rPr>
      </w:pPr>
      <w:r w:rsidRPr="00B83A9B">
        <w:rPr>
          <w:rFonts w:cs="Arial"/>
        </w:rPr>
        <w:t>• Dedykowany port Ethernet do zarządzania out-of-band,</w:t>
      </w:r>
    </w:p>
    <w:p w:rsidR="00B83A9B" w:rsidRPr="00B83A9B" w:rsidRDefault="00B83A9B" w:rsidP="00B83A9B">
      <w:pPr>
        <w:jc w:val="both"/>
        <w:rPr>
          <w:rFonts w:cs="Arial"/>
        </w:rPr>
      </w:pPr>
      <w:r w:rsidRPr="00B83A9B">
        <w:rPr>
          <w:rFonts w:cs="Arial"/>
        </w:rPr>
        <w:t>• Przełącznik wyposażony w diodę umożliwiającą identyfikację konkretnego urządzenia podczas akcji serwisowych</w:t>
      </w:r>
    </w:p>
    <w:p w:rsidR="00B83A9B" w:rsidRPr="00B83A9B" w:rsidRDefault="00B83A9B" w:rsidP="00B83A9B">
      <w:pPr>
        <w:jc w:val="both"/>
        <w:rPr>
          <w:rFonts w:cs="Arial"/>
        </w:rPr>
      </w:pPr>
      <w:r w:rsidRPr="00B83A9B">
        <w:rPr>
          <w:rFonts w:cs="Arial"/>
        </w:rPr>
        <w:t>• Port USB umożliwiający podłączenie zewnętrznego nośnika danych. Urządzenie ma możliwość uruchomienia z nośnika danych umieszczonego w porcie USB</w:t>
      </w:r>
    </w:p>
    <w:p w:rsidR="00B83A9B" w:rsidRPr="00B83A9B" w:rsidRDefault="00B83A9B" w:rsidP="00B83A9B">
      <w:pPr>
        <w:jc w:val="both"/>
        <w:rPr>
          <w:rFonts w:cs="Arial"/>
        </w:rPr>
      </w:pPr>
      <w:r w:rsidRPr="00B83A9B">
        <w:rPr>
          <w:rFonts w:cs="Arial"/>
        </w:rPr>
        <w:t>- Możliwość tworzenia skryptów celem obsługi zdarzeń, które mogą pojawić się w systemie</w:t>
      </w:r>
    </w:p>
    <w:p w:rsidR="00B83A9B" w:rsidRPr="00B83A9B" w:rsidRDefault="00B83A9B" w:rsidP="00B83A9B">
      <w:pPr>
        <w:jc w:val="both"/>
        <w:rPr>
          <w:rFonts w:cs="Arial"/>
        </w:rPr>
      </w:pPr>
      <w:r w:rsidRPr="00B83A9B">
        <w:rPr>
          <w:rFonts w:cs="Arial"/>
        </w:rPr>
        <w:t xml:space="preserve">- Możliwość montażu w szafie </w:t>
      </w:r>
      <w:proofErr w:type="spellStart"/>
      <w:r w:rsidRPr="00B83A9B">
        <w:rPr>
          <w:rFonts w:cs="Arial"/>
        </w:rPr>
        <w:t>rack</w:t>
      </w:r>
      <w:proofErr w:type="spellEnd"/>
      <w:r w:rsidRPr="00B83A9B">
        <w:rPr>
          <w:rFonts w:cs="Arial"/>
        </w:rPr>
        <w:t xml:space="preserve"> 19”. Wysokość urządzenia 1 RU</w:t>
      </w:r>
    </w:p>
    <w:p w:rsidR="00B83A9B" w:rsidRPr="00B83A9B" w:rsidRDefault="00B83A9B" w:rsidP="00B83A9B">
      <w:pPr>
        <w:jc w:val="both"/>
        <w:rPr>
          <w:rFonts w:cs="Arial"/>
        </w:rPr>
      </w:pPr>
      <w:r w:rsidRPr="00B83A9B">
        <w:rPr>
          <w:rFonts w:cs="Arial"/>
        </w:rPr>
        <w:t>- Przełącznik wyposażony w redundantny zasilacz oraz kabel zasilający</w:t>
      </w:r>
    </w:p>
    <w:p w:rsidR="00B83A9B" w:rsidRPr="00B83A9B" w:rsidRDefault="00B83A9B" w:rsidP="00B83A9B">
      <w:pPr>
        <w:jc w:val="both"/>
        <w:rPr>
          <w:rFonts w:cs="Arial"/>
        </w:rPr>
      </w:pPr>
      <w:r w:rsidRPr="00B83A9B">
        <w:rPr>
          <w:rFonts w:cs="Arial"/>
        </w:rPr>
        <w:t xml:space="preserve">- Urządzenie wyposażyć w licencje subskrypcyjną na wymagane funkcjonalności na okres min. 3 lat </w:t>
      </w:r>
    </w:p>
    <w:p w:rsidR="00B83A9B" w:rsidRPr="00B83A9B" w:rsidRDefault="00B83A9B" w:rsidP="00B83A9B">
      <w:pPr>
        <w:jc w:val="both"/>
        <w:rPr>
          <w:rFonts w:cs="Arial"/>
          <w:lang w:eastAsia="pl-PL"/>
        </w:rPr>
      </w:pPr>
      <w:r w:rsidRPr="00B83A9B">
        <w:rPr>
          <w:rFonts w:cs="Arial"/>
          <w:lang w:eastAsia="pl-PL"/>
        </w:rPr>
        <w:t>- Przełącznik musi być nowy oraz pochodzić z autoryzowanego kanału dystrybucji producenta</w:t>
      </w:r>
    </w:p>
    <w:p w:rsidR="00B83A9B" w:rsidRPr="00B83A9B" w:rsidRDefault="00B83A9B" w:rsidP="00B83A9B">
      <w:pPr>
        <w:jc w:val="both"/>
        <w:rPr>
          <w:rFonts w:cs="Arial"/>
          <w:lang w:eastAsia="pl-PL"/>
        </w:rPr>
      </w:pPr>
      <w:r w:rsidRPr="00B83A9B">
        <w:t>- Na urządzenie musi być wykupione wsparcie w trybie 8X5XNBD na okres 12 miesięcy świadczone za pośrednictwem Dostawcy (serwis typu partnerskiego)</w:t>
      </w:r>
    </w:p>
    <w:p w:rsidR="00B83A9B" w:rsidRPr="00B83A9B" w:rsidRDefault="00B83A9B" w:rsidP="00B83A9B">
      <w:pPr>
        <w:jc w:val="both"/>
        <w:rPr>
          <w:rFonts w:cs="Arial"/>
          <w:lang w:eastAsia="pl-PL"/>
        </w:rPr>
      </w:pPr>
      <w:r w:rsidRPr="00B83A9B">
        <w:rPr>
          <w:rFonts w:cs="Arial"/>
          <w:lang w:eastAsia="pl-PL"/>
        </w:rPr>
        <w:t>- Wykonawca wraz z dostawą przełączników przedstawi oświadczenie producenta przełączników, które będzie potwierdzało, że przełączniki objęta są gwarancją na terenie Polski zgodną z wymaganiami Zamawiającego. Oświadczenie to musi zawierać informację o nr seryjnych przełączników, nr katalogowych przełączników, dane wykonawcy oraz dane klienta końcowego.</w:t>
      </w:r>
    </w:p>
    <w:p w:rsidR="00B83A9B" w:rsidRPr="00B83A9B" w:rsidRDefault="00B83A9B" w:rsidP="00B83A9B">
      <w:pPr>
        <w:jc w:val="both"/>
        <w:rPr>
          <w:rFonts w:cs="Arial"/>
          <w:lang w:eastAsia="pl-PL"/>
        </w:rPr>
      </w:pPr>
      <w:r w:rsidRPr="00B83A9B">
        <w:rPr>
          <w:rFonts w:cs="Arial"/>
          <w:lang w:eastAsia="pl-PL"/>
        </w:rPr>
        <w:t>- Serwis urządzeń musi być realizowany przez producenta lub autoryzowanego partnera serwisowego producenta</w:t>
      </w:r>
    </w:p>
    <w:p w:rsidR="00B83A9B" w:rsidRPr="00B83A9B" w:rsidRDefault="00B83A9B" w:rsidP="00B83A9B">
      <w:pPr>
        <w:jc w:val="both"/>
        <w:rPr>
          <w:rFonts w:cs="Arial"/>
          <w:lang w:eastAsia="pl-PL"/>
        </w:rPr>
      </w:pPr>
      <w:r w:rsidRPr="00B83A9B">
        <w:rPr>
          <w:rFonts w:cs="Arial"/>
          <w:lang w:eastAsia="pl-PL"/>
        </w:rPr>
        <w:t>- Gwarancja na wkładki SFP/SFP+/QSFP kompatybilne z dostarczanym przełącznikiem – minimum 12 miesięcy.</w:t>
      </w:r>
    </w:p>
    <w:p w:rsidR="00B83A9B" w:rsidRPr="00B83A9B" w:rsidRDefault="00B83A9B" w:rsidP="00B83A9B">
      <w:pPr>
        <w:jc w:val="both"/>
        <w:rPr>
          <w:rFonts w:cs="Arial"/>
          <w:u w:val="single"/>
        </w:rPr>
      </w:pPr>
    </w:p>
    <w:p w:rsidR="00B83A9B" w:rsidRPr="00B83A9B" w:rsidRDefault="00B83A9B" w:rsidP="00B83A9B">
      <w:pPr>
        <w:jc w:val="both"/>
        <w:rPr>
          <w:rFonts w:cs="Arial"/>
          <w:u w:val="single"/>
        </w:rPr>
      </w:pPr>
      <w:r w:rsidRPr="00B83A9B">
        <w:rPr>
          <w:rFonts w:cs="Arial"/>
          <w:u w:val="single"/>
        </w:rPr>
        <w:t>Przełączniki agregujące o wymaganiach minimalnych:</w:t>
      </w:r>
    </w:p>
    <w:p w:rsidR="00B83A9B" w:rsidRPr="00B83A9B" w:rsidRDefault="00B83A9B" w:rsidP="00B83A9B">
      <w:pPr>
        <w:jc w:val="both"/>
        <w:rPr>
          <w:rFonts w:cs="Arial"/>
        </w:rPr>
      </w:pPr>
      <w:r w:rsidRPr="00B83A9B">
        <w:rPr>
          <w:rFonts w:cs="Arial"/>
        </w:rPr>
        <w:t xml:space="preserve">- 24 x 10 Gigabit SFP+, + dodatkowy slot na modułu </w:t>
      </w:r>
      <w:proofErr w:type="spellStart"/>
      <w:r w:rsidRPr="00B83A9B">
        <w:rPr>
          <w:rFonts w:cs="Arial"/>
        </w:rPr>
        <w:t>uplink</w:t>
      </w:r>
      <w:proofErr w:type="spellEnd"/>
      <w:r w:rsidRPr="00B83A9B">
        <w:rPr>
          <w:rFonts w:cs="Arial"/>
        </w:rPr>
        <w:t xml:space="preserve"> SFP</w:t>
      </w:r>
    </w:p>
    <w:p w:rsidR="00B83A9B" w:rsidRPr="00B83A9B" w:rsidRDefault="00B83A9B" w:rsidP="00B83A9B">
      <w:pPr>
        <w:jc w:val="both"/>
        <w:rPr>
          <w:rFonts w:cs="Arial"/>
          <w:lang w:eastAsia="pl-PL"/>
        </w:rPr>
      </w:pPr>
      <w:r w:rsidRPr="00B83A9B">
        <w:rPr>
          <w:rFonts w:cs="Arial"/>
          <w:lang w:eastAsia="pl-PL"/>
        </w:rPr>
        <w:t xml:space="preserve">- Slot na moduł rozszerzeń z możliwością jego wymiany „na gorąco” (ang. hot </w:t>
      </w:r>
      <w:proofErr w:type="spellStart"/>
      <w:r w:rsidRPr="00B83A9B">
        <w:rPr>
          <w:rFonts w:cs="Arial"/>
          <w:lang w:eastAsia="pl-PL"/>
        </w:rPr>
        <w:t>swap</w:t>
      </w:r>
      <w:proofErr w:type="spellEnd"/>
      <w:r w:rsidRPr="00B83A9B">
        <w:rPr>
          <w:rFonts w:cs="Arial"/>
          <w:lang w:eastAsia="pl-PL"/>
        </w:rPr>
        <w:t xml:space="preserve">). </w:t>
      </w:r>
    </w:p>
    <w:p w:rsidR="00B83A9B" w:rsidRPr="00B83A9B" w:rsidRDefault="00B83A9B" w:rsidP="00B83A9B">
      <w:pPr>
        <w:jc w:val="both"/>
        <w:rPr>
          <w:rFonts w:cs="Arial"/>
          <w:lang w:eastAsia="pl-PL"/>
        </w:rPr>
      </w:pPr>
      <w:r w:rsidRPr="00B83A9B">
        <w:rPr>
          <w:rFonts w:cs="Arial"/>
          <w:lang w:eastAsia="pl-PL"/>
        </w:rPr>
        <w:t xml:space="preserve">- Przełącznik musi być wyposażony w kompatybilne wkładki SFP+ </w:t>
      </w:r>
      <w:proofErr w:type="spellStart"/>
      <w:r w:rsidRPr="00B83A9B">
        <w:rPr>
          <w:rFonts w:cs="Arial"/>
          <w:lang w:eastAsia="pl-PL"/>
        </w:rPr>
        <w:t>LCdx</w:t>
      </w:r>
      <w:proofErr w:type="spellEnd"/>
      <w:r w:rsidRPr="00B83A9B">
        <w:rPr>
          <w:rFonts w:cs="Arial"/>
          <w:lang w:eastAsia="pl-PL"/>
        </w:rPr>
        <w:t xml:space="preserve"> w ilości 24 sztuki.</w:t>
      </w:r>
    </w:p>
    <w:p w:rsidR="00B83A9B" w:rsidRPr="00B83A9B" w:rsidRDefault="00B83A9B" w:rsidP="00B83A9B">
      <w:pPr>
        <w:jc w:val="both"/>
        <w:rPr>
          <w:rFonts w:cs="Arial"/>
          <w:lang w:eastAsia="pl-PL"/>
        </w:rPr>
      </w:pPr>
      <w:r w:rsidRPr="00B83A9B">
        <w:rPr>
          <w:rFonts w:cs="Arial"/>
        </w:rPr>
        <w:t xml:space="preserve">- </w:t>
      </w:r>
      <w:r w:rsidRPr="00B83A9B">
        <w:rPr>
          <w:rFonts w:cs="Arial"/>
          <w:lang w:eastAsia="pl-PL"/>
        </w:rPr>
        <w:t>Przełączanie w warstwie 2 i 3 modelu OSI</w:t>
      </w:r>
    </w:p>
    <w:p w:rsidR="00B83A9B" w:rsidRPr="00B83A9B" w:rsidRDefault="00B83A9B" w:rsidP="00B83A9B">
      <w:pPr>
        <w:spacing w:line="256" w:lineRule="auto"/>
        <w:ind w:left="1"/>
      </w:pPr>
      <w:r w:rsidRPr="00B83A9B">
        <w:t xml:space="preserve">- Możliwość </w:t>
      </w:r>
      <w:proofErr w:type="spellStart"/>
      <w:r w:rsidRPr="00B83A9B">
        <w:t>stackowania</w:t>
      </w:r>
      <w:proofErr w:type="spellEnd"/>
      <w:r w:rsidRPr="00B83A9B">
        <w:t>:</w:t>
      </w:r>
    </w:p>
    <w:p w:rsidR="00B83A9B" w:rsidRPr="00B83A9B" w:rsidRDefault="00B83A9B" w:rsidP="00B83A9B">
      <w:pPr>
        <w:spacing w:line="256" w:lineRule="auto"/>
        <w:ind w:left="284"/>
      </w:pPr>
      <w:r w:rsidRPr="00B83A9B">
        <w:t>• 8 urządzeń w stosie,</w:t>
      </w:r>
    </w:p>
    <w:p w:rsidR="00B83A9B" w:rsidRPr="00B83A9B" w:rsidRDefault="00B83A9B" w:rsidP="00B83A9B">
      <w:pPr>
        <w:ind w:firstLine="284"/>
        <w:jc w:val="both"/>
      </w:pPr>
      <w:r w:rsidRPr="00B83A9B">
        <w:t>• Zarządzanie poprzez jeden adres IP,</w:t>
      </w:r>
    </w:p>
    <w:p w:rsidR="00B83A9B" w:rsidRPr="00B83A9B" w:rsidRDefault="00B83A9B" w:rsidP="00B83A9B">
      <w:pPr>
        <w:jc w:val="both"/>
        <w:rPr>
          <w:rFonts w:cs="Arial"/>
        </w:rPr>
      </w:pPr>
      <w:r w:rsidRPr="00B83A9B">
        <w:rPr>
          <w:rFonts w:cs="Arial"/>
        </w:rPr>
        <w:lastRenderedPageBreak/>
        <w:t xml:space="preserve">- Montaż w szafie </w:t>
      </w:r>
      <w:proofErr w:type="spellStart"/>
      <w:r w:rsidRPr="00B83A9B">
        <w:rPr>
          <w:rFonts w:cs="Arial"/>
        </w:rPr>
        <w:t>rack</w:t>
      </w:r>
      <w:proofErr w:type="spellEnd"/>
      <w:r w:rsidRPr="00B83A9B">
        <w:rPr>
          <w:rFonts w:cs="Arial"/>
        </w:rPr>
        <w:t xml:space="preserve"> 19”, 1U</w:t>
      </w:r>
    </w:p>
    <w:p w:rsidR="00B83A9B" w:rsidRPr="00B83A9B" w:rsidRDefault="00B83A9B" w:rsidP="00B83A9B">
      <w:pPr>
        <w:jc w:val="both"/>
        <w:rPr>
          <w:rFonts w:cs="Arial"/>
        </w:rPr>
      </w:pPr>
      <w:r w:rsidRPr="00B83A9B">
        <w:rPr>
          <w:rFonts w:cs="Arial"/>
        </w:rPr>
        <w:t>- Wskaźniki statusu: Szybkość transmisji portu, tryb dupleksu portu, zasilanie, system, aktywny, status</w:t>
      </w:r>
    </w:p>
    <w:p w:rsidR="00B83A9B" w:rsidRPr="00B83A9B" w:rsidRDefault="00B83A9B" w:rsidP="00B83A9B">
      <w:pPr>
        <w:jc w:val="both"/>
        <w:rPr>
          <w:rFonts w:cs="Arial"/>
        </w:rPr>
      </w:pPr>
      <w:r w:rsidRPr="00B83A9B">
        <w:rPr>
          <w:rFonts w:cs="Arial"/>
        </w:rPr>
        <w:t>- Port kontroli USB</w:t>
      </w:r>
    </w:p>
    <w:p w:rsidR="00B83A9B" w:rsidRPr="00B83A9B" w:rsidRDefault="00B83A9B" w:rsidP="00B83A9B">
      <w:pPr>
        <w:jc w:val="both"/>
        <w:rPr>
          <w:rFonts w:cs="Arial"/>
        </w:rPr>
      </w:pPr>
      <w:r w:rsidRPr="00B83A9B">
        <w:rPr>
          <w:rFonts w:cs="Arial"/>
        </w:rPr>
        <w:t>- Port konsoli RJ45</w:t>
      </w:r>
    </w:p>
    <w:p w:rsidR="00B83A9B" w:rsidRPr="00B83A9B" w:rsidRDefault="00B83A9B" w:rsidP="00B83A9B">
      <w:pPr>
        <w:jc w:val="both"/>
        <w:rPr>
          <w:rFonts w:cs="Arial"/>
          <w:lang w:eastAsia="pl-PL"/>
        </w:rPr>
      </w:pPr>
      <w:r w:rsidRPr="00B83A9B">
        <w:rPr>
          <w:rFonts w:cs="Arial"/>
        </w:rPr>
        <w:t xml:space="preserve">- </w:t>
      </w:r>
      <w:r w:rsidRPr="00B83A9B">
        <w:rPr>
          <w:rFonts w:cs="Arial"/>
          <w:lang w:eastAsia="pl-PL"/>
        </w:rPr>
        <w:t>Port USB 2.0 (niezależny od portu konsoli USB)</w:t>
      </w:r>
    </w:p>
    <w:p w:rsidR="00B83A9B" w:rsidRPr="00B83A9B" w:rsidRDefault="00B83A9B" w:rsidP="00B83A9B">
      <w:pPr>
        <w:jc w:val="both"/>
        <w:rPr>
          <w:rFonts w:cs="Arial"/>
        </w:rPr>
      </w:pPr>
      <w:r w:rsidRPr="00B83A9B">
        <w:rPr>
          <w:rFonts w:cs="Arial"/>
        </w:rPr>
        <w:t>- Zgodność z normami:</w:t>
      </w:r>
      <w:r w:rsidRPr="00B83A9B">
        <w:rPr>
          <w:rFonts w:cs="Arial"/>
        </w:rPr>
        <w:tab/>
        <w:t>IEEE 802.3z, IEEE 802.1D, IEEE 802.1Q, IEEE 802.1p, IEEE 802.3x, IEEE 802.3ad (LACP), IEEE 802.1w, IEEE 802.1x, IEEE 802.1s</w:t>
      </w:r>
    </w:p>
    <w:p w:rsidR="00B83A9B" w:rsidRPr="00B83A9B" w:rsidRDefault="00B83A9B" w:rsidP="00B83A9B">
      <w:pPr>
        <w:jc w:val="both"/>
        <w:rPr>
          <w:rFonts w:cs="Arial"/>
        </w:rPr>
      </w:pPr>
      <w:r w:rsidRPr="00B83A9B">
        <w:rPr>
          <w:rFonts w:cs="Arial"/>
        </w:rPr>
        <w:t>- Przełącznik wyposażony w redundantny zasilacz oraz kabel zasilający</w:t>
      </w:r>
    </w:p>
    <w:p w:rsidR="00B83A9B" w:rsidRPr="00B83A9B" w:rsidRDefault="00B83A9B" w:rsidP="00B83A9B">
      <w:pPr>
        <w:jc w:val="both"/>
        <w:rPr>
          <w:rFonts w:cs="Arial"/>
        </w:rPr>
      </w:pPr>
      <w:r w:rsidRPr="00B83A9B">
        <w:rPr>
          <w:rFonts w:cs="Arial"/>
        </w:rPr>
        <w:t xml:space="preserve">- Urządzenie wyposażyć w licencje subskrypcyjną na wymagane funkcjonalności na okres min. 3 lat </w:t>
      </w:r>
    </w:p>
    <w:p w:rsidR="00B83A9B" w:rsidRPr="00B83A9B" w:rsidRDefault="00B83A9B" w:rsidP="00B83A9B">
      <w:pPr>
        <w:jc w:val="both"/>
        <w:rPr>
          <w:rFonts w:cs="Arial"/>
          <w:lang w:eastAsia="pl-PL"/>
        </w:rPr>
      </w:pPr>
      <w:r w:rsidRPr="00B83A9B">
        <w:t>- Na urządzenie musi być wykupione wsparcie w trybie 8X5XNBD na okres 12 miesięcy świadczone za pośrednictwem Dostawcy (serwis typu partnerskiego)</w:t>
      </w:r>
    </w:p>
    <w:p w:rsidR="00B83A9B" w:rsidRPr="00B83A9B" w:rsidRDefault="00B83A9B" w:rsidP="00B83A9B">
      <w:pPr>
        <w:jc w:val="both"/>
        <w:rPr>
          <w:rFonts w:cs="Arial"/>
          <w:lang w:eastAsia="pl-PL"/>
        </w:rPr>
      </w:pPr>
      <w:r w:rsidRPr="00B83A9B">
        <w:rPr>
          <w:rFonts w:cs="Arial"/>
          <w:lang w:eastAsia="pl-PL"/>
        </w:rPr>
        <w:t>- Przełącznik musi być nowy oraz pochodzić z autoryzowanego kanału dystrybucji producenta</w:t>
      </w:r>
    </w:p>
    <w:p w:rsidR="00B83A9B" w:rsidRPr="00B83A9B" w:rsidRDefault="00B83A9B" w:rsidP="00B83A9B">
      <w:pPr>
        <w:jc w:val="both"/>
        <w:rPr>
          <w:rFonts w:cs="Arial"/>
          <w:lang w:eastAsia="pl-PL"/>
        </w:rPr>
      </w:pPr>
      <w:r w:rsidRPr="00B83A9B">
        <w:rPr>
          <w:rFonts w:cs="Arial"/>
          <w:lang w:eastAsia="pl-PL"/>
        </w:rPr>
        <w:t>- Wykonawca wraz z dostawą przełączników przedstawi oświadczenie producenta przełączników, które będzie potwierdzało, że przełączniki objęta są gwarancją na terenie Polski zgodną z wymaganiami Zamawiającego. Oświadczenie to musi zawierać informację o nr seryjnych przełączników, nr katalogowych przełączników, dane wykonawcy oraz dane klienta końcowego</w:t>
      </w:r>
    </w:p>
    <w:p w:rsidR="00B83A9B" w:rsidRPr="00B83A9B" w:rsidRDefault="00B83A9B" w:rsidP="00B83A9B">
      <w:pPr>
        <w:jc w:val="both"/>
        <w:rPr>
          <w:rFonts w:cs="Arial"/>
          <w:lang w:eastAsia="pl-PL"/>
        </w:rPr>
      </w:pPr>
      <w:r w:rsidRPr="00B83A9B">
        <w:rPr>
          <w:rFonts w:cs="Arial"/>
          <w:lang w:eastAsia="pl-PL"/>
        </w:rPr>
        <w:t>- Serwis urządzeń musi być realizowany przez producenta lub autoryzowanego partnera serwisowego producenta</w:t>
      </w:r>
    </w:p>
    <w:p w:rsidR="00B83A9B" w:rsidRPr="00B83A9B" w:rsidRDefault="00B83A9B" w:rsidP="00B83A9B">
      <w:pPr>
        <w:jc w:val="both"/>
        <w:rPr>
          <w:rFonts w:cs="Arial"/>
        </w:rPr>
      </w:pPr>
      <w:r w:rsidRPr="00B83A9B">
        <w:rPr>
          <w:rFonts w:cs="Arial"/>
        </w:rPr>
        <w:t>- Urządzenia objęte gwarancją producenta</w:t>
      </w:r>
    </w:p>
    <w:p w:rsidR="00B83A9B" w:rsidRDefault="00B83A9B" w:rsidP="00B83A9B">
      <w:pPr>
        <w:jc w:val="both"/>
        <w:rPr>
          <w:rFonts w:cs="Arial"/>
          <w:lang w:eastAsia="pl-PL"/>
        </w:rPr>
      </w:pPr>
      <w:r w:rsidRPr="00B83A9B">
        <w:rPr>
          <w:rFonts w:cs="Arial"/>
          <w:lang w:eastAsia="pl-PL"/>
        </w:rPr>
        <w:t>- Gwarancja na wkładki SFP/SFP+/QSFP kompatybilne z dostarczanym przełącznikiem – minimum 12 miesięcy.</w:t>
      </w:r>
    </w:p>
    <w:p w:rsidR="00B83A9B" w:rsidRDefault="00B83A9B"/>
    <w:p w:rsidR="00733BDB" w:rsidRDefault="00733BDB"/>
    <w:p w:rsidR="00733BDB" w:rsidRDefault="00733BDB"/>
    <w:p w:rsidR="00733BDB" w:rsidRDefault="00733BDB"/>
    <w:p w:rsidR="00733BDB" w:rsidRDefault="00733BDB"/>
    <w:p w:rsidR="00733BDB" w:rsidRDefault="00733BDB"/>
    <w:p w:rsidR="00733BDB" w:rsidRDefault="00733BDB"/>
    <w:p w:rsidR="00733BDB" w:rsidRDefault="00733BDB"/>
    <w:p w:rsidR="00733BDB" w:rsidRDefault="00733BDB"/>
    <w:p w:rsidR="00733BDB" w:rsidRDefault="00733BDB"/>
    <w:p w:rsidR="00733BDB" w:rsidRDefault="00733BDB"/>
    <w:p w:rsidR="00733BDB" w:rsidRDefault="00733BDB"/>
    <w:p w:rsidR="0021235C" w:rsidRDefault="0021235C">
      <w:bookmarkStart w:id="0" w:name="_GoBack"/>
      <w:bookmarkEnd w:id="0"/>
    </w:p>
    <w:sectPr w:rsidR="00212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Yu Gothic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B5C2E"/>
    <w:multiLevelType w:val="hybridMultilevel"/>
    <w:tmpl w:val="1D5CD66C"/>
    <w:lvl w:ilvl="0" w:tplc="00000002">
      <w:start w:val="1"/>
      <w:numFmt w:val="bullet"/>
      <w:lvlText w:val="-"/>
      <w:lvlJc w:val="left"/>
      <w:pPr>
        <w:ind w:left="426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7B"/>
    <w:rsid w:val="00081606"/>
    <w:rsid w:val="0021235C"/>
    <w:rsid w:val="003450A5"/>
    <w:rsid w:val="004E45D9"/>
    <w:rsid w:val="00536AD9"/>
    <w:rsid w:val="005B6BCC"/>
    <w:rsid w:val="00733BDB"/>
    <w:rsid w:val="00775B09"/>
    <w:rsid w:val="00795EA8"/>
    <w:rsid w:val="0082363E"/>
    <w:rsid w:val="008533C5"/>
    <w:rsid w:val="00B83A9B"/>
    <w:rsid w:val="00DF3FE9"/>
    <w:rsid w:val="00FF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BDEDD-B27C-4755-A983-FFADF7E2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33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6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A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1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Rudziński</dc:creator>
  <cp:keywords/>
  <dc:description/>
  <cp:lastModifiedBy>Katarzyna Jelinek</cp:lastModifiedBy>
  <cp:revision>3</cp:revision>
  <cp:lastPrinted>2021-01-25T14:00:00Z</cp:lastPrinted>
  <dcterms:created xsi:type="dcterms:W3CDTF">2021-01-25T14:01:00Z</dcterms:created>
  <dcterms:modified xsi:type="dcterms:W3CDTF">2021-01-25T14:04:00Z</dcterms:modified>
</cp:coreProperties>
</file>