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D7302A">
        <w:rPr>
          <w:rFonts w:ascii="Cambria" w:hAnsi="Cambria"/>
          <w:b/>
        </w:rPr>
        <w:t>Światło - Otwarci na przyszłość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D7302A">
        <w:rPr>
          <w:rFonts w:ascii="Cambria" w:hAnsi="Cambria"/>
          <w:b/>
          <w:i/>
          <w:color w:val="000000"/>
        </w:rPr>
        <w:t>Działania na rzecz dzieci polskich i ukraińskich ze wsparciem merytorycznym psychologa”</w:t>
      </w:r>
      <w:bookmarkStart w:id="0" w:name="_GoBack"/>
      <w:bookmarkEnd w:id="0"/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B1FE1"/>
    <w:rsid w:val="00AF4D94"/>
    <w:rsid w:val="00B15B41"/>
    <w:rsid w:val="00BB0804"/>
    <w:rsid w:val="00D126FC"/>
    <w:rsid w:val="00D7302A"/>
    <w:rsid w:val="00D96270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ACA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6</cp:revision>
  <cp:lastPrinted>2020-09-02T10:01:00Z</cp:lastPrinted>
  <dcterms:created xsi:type="dcterms:W3CDTF">2020-09-11T11:36:00Z</dcterms:created>
  <dcterms:modified xsi:type="dcterms:W3CDTF">2022-04-05T07:54:00Z</dcterms:modified>
</cp:coreProperties>
</file>