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72171" w:rsidRDefault="003C16C6" w:rsidP="00343AA2">
      <w:pPr>
        <w:keepNext/>
        <w:pageBreakBefore/>
        <w:tabs>
          <w:tab w:val="left" w:pos="0"/>
        </w:tabs>
        <w:jc w:val="right"/>
        <w:outlineLvl w:val="0"/>
        <w:rPr>
          <w:rFonts w:ascii="Arial" w:hAnsi="Arial" w:cs="Arial"/>
          <w:b/>
          <w:color w:val="000000" w:themeColor="text1"/>
          <w:sz w:val="18"/>
          <w:szCs w:val="18"/>
        </w:rPr>
      </w:pPr>
      <w:r w:rsidRPr="00272171">
        <w:rPr>
          <w:rFonts w:ascii="Arial" w:hAnsi="Arial" w:cs="Arial"/>
          <w:b/>
          <w:color w:val="000000" w:themeColor="text1"/>
          <w:sz w:val="18"/>
          <w:szCs w:val="18"/>
        </w:rPr>
        <w:t>Załącznik Nr</w:t>
      </w:r>
      <w:r w:rsidR="00D552EB">
        <w:rPr>
          <w:rFonts w:ascii="Arial" w:hAnsi="Arial" w:cs="Arial"/>
          <w:b/>
          <w:color w:val="000000" w:themeColor="text1"/>
          <w:sz w:val="18"/>
          <w:szCs w:val="18"/>
        </w:rPr>
        <w:t xml:space="preserve"> 5.8.</w:t>
      </w:r>
      <w:r w:rsidRPr="00272171">
        <w:rPr>
          <w:rFonts w:ascii="Arial" w:hAnsi="Arial" w:cs="Arial"/>
          <w:b/>
          <w:color w:val="000000" w:themeColor="text1"/>
          <w:sz w:val="18"/>
          <w:szCs w:val="18"/>
        </w:rPr>
        <w:t xml:space="preserve"> do SIWZ</w:t>
      </w:r>
      <w:r w:rsidR="00D552EB">
        <w:rPr>
          <w:rFonts w:ascii="Arial" w:hAnsi="Arial" w:cs="Arial"/>
          <w:b/>
          <w:color w:val="000000" w:themeColor="text1"/>
          <w:sz w:val="18"/>
          <w:szCs w:val="18"/>
        </w:rPr>
        <w:t xml:space="preserve"> </w:t>
      </w:r>
      <w:r w:rsidR="00D552EB" w:rsidRPr="00BF2DE7">
        <w:rPr>
          <w:rFonts w:ascii="Arial" w:hAnsi="Arial" w:cs="Arial"/>
          <w:b/>
          <w:color w:val="0070C0"/>
          <w:sz w:val="18"/>
          <w:szCs w:val="18"/>
          <w:u w:val="single"/>
        </w:rPr>
        <w:t xml:space="preserve">po modyfikacji z dnia </w:t>
      </w:r>
      <w:r w:rsidR="0055209F">
        <w:rPr>
          <w:rFonts w:ascii="Arial" w:hAnsi="Arial" w:cs="Arial"/>
          <w:b/>
          <w:color w:val="0070C0"/>
          <w:sz w:val="18"/>
          <w:szCs w:val="18"/>
          <w:u w:val="single"/>
        </w:rPr>
        <w:t>24</w:t>
      </w:r>
      <w:r w:rsidR="00D552EB" w:rsidRPr="00BF2DE7">
        <w:rPr>
          <w:rFonts w:ascii="Arial" w:hAnsi="Arial" w:cs="Arial"/>
          <w:b/>
          <w:color w:val="0070C0"/>
          <w:sz w:val="18"/>
          <w:szCs w:val="18"/>
          <w:u w:val="single"/>
        </w:rPr>
        <w:t>.05.2019 r.</w:t>
      </w:r>
      <w:r w:rsidR="00D552EB" w:rsidRPr="00BF2DE7">
        <w:rPr>
          <w:rFonts w:ascii="Arial" w:hAnsi="Arial" w:cs="Arial"/>
          <w:b/>
          <w:color w:val="0070C0"/>
          <w:sz w:val="18"/>
          <w:szCs w:val="18"/>
        </w:rPr>
        <w:t xml:space="preserve"> </w:t>
      </w: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D552EB">
        <w:rPr>
          <w:rFonts w:ascii="Arial" w:hAnsi="Arial" w:cs="Arial"/>
          <w:b/>
          <w:iCs/>
          <w:color w:val="000000" w:themeColor="text1"/>
          <w:sz w:val="18"/>
          <w:szCs w:val="18"/>
        </w:rPr>
        <w:t>.14</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bookmarkStart w:id="0" w:name="_GoBack"/>
      <w:bookmarkEnd w:id="0"/>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AE620A"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późn.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 xml:space="preserve">Modernizacja </w:t>
      </w:r>
      <w:r w:rsidR="005956AC" w:rsidRPr="00AE620A">
        <w:rPr>
          <w:rFonts w:ascii="Arial" w:hAnsi="Arial" w:cs="Arial"/>
          <w:b/>
          <w:bCs/>
          <w:color w:val="000000" w:themeColor="text1"/>
          <w:sz w:val="18"/>
          <w:szCs w:val="18"/>
        </w:rPr>
        <w:t>dróg powiatowych na terenie powiatu wrocławskiego w podziale na 9 zadań.</w:t>
      </w:r>
    </w:p>
    <w:p w:rsidR="00486B78" w:rsidRPr="00AE620A" w:rsidRDefault="003C16C6" w:rsidP="00AE620A">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AE620A">
        <w:rPr>
          <w:rFonts w:ascii="Arial" w:hAnsi="Arial" w:cs="Arial"/>
          <w:color w:val="000000" w:themeColor="text1"/>
          <w:sz w:val="18"/>
          <w:szCs w:val="18"/>
        </w:rPr>
        <w:t>Zgodnie z wynikiem przetargu nieograniczonego Zamawiający zleca, a Wy</w:t>
      </w:r>
      <w:r w:rsidR="00B93D82" w:rsidRPr="00AE620A">
        <w:rPr>
          <w:rFonts w:ascii="Arial" w:hAnsi="Arial" w:cs="Arial"/>
          <w:color w:val="000000" w:themeColor="text1"/>
          <w:sz w:val="18"/>
          <w:szCs w:val="18"/>
        </w:rPr>
        <w:t xml:space="preserve">konawca przyjmuje do realizacji </w:t>
      </w:r>
      <w:r w:rsidRPr="00152D75">
        <w:rPr>
          <w:rFonts w:ascii="Arial" w:hAnsi="Arial" w:cs="Arial"/>
          <w:b/>
          <w:color w:val="000000" w:themeColor="text1"/>
          <w:sz w:val="18"/>
          <w:szCs w:val="18"/>
          <w:u w:val="single"/>
        </w:rPr>
        <w:t xml:space="preserve">Zadanie </w:t>
      </w:r>
      <w:r w:rsidR="00AE620A" w:rsidRPr="00152D75">
        <w:rPr>
          <w:rFonts w:ascii="Arial" w:hAnsi="Arial" w:cs="Arial"/>
          <w:b/>
          <w:color w:val="000000" w:themeColor="text1"/>
          <w:sz w:val="18"/>
          <w:szCs w:val="18"/>
          <w:u w:val="single"/>
        </w:rPr>
        <w:t>8</w:t>
      </w:r>
      <w:r w:rsidR="002650CA" w:rsidRPr="00AE620A">
        <w:rPr>
          <w:rFonts w:ascii="Arial" w:hAnsi="Arial" w:cs="Arial"/>
          <w:b/>
          <w:color w:val="000000" w:themeColor="text1"/>
          <w:sz w:val="18"/>
          <w:szCs w:val="18"/>
        </w:rPr>
        <w:t xml:space="preserve"> - </w:t>
      </w:r>
      <w:r w:rsidR="00AE620A" w:rsidRPr="00AE620A">
        <w:rPr>
          <w:rFonts w:ascii="Arial" w:hAnsi="Arial" w:cs="Arial"/>
          <w:b/>
          <w:color w:val="000000" w:themeColor="text1"/>
          <w:sz w:val="18"/>
          <w:szCs w:val="18"/>
        </w:rPr>
        <w:t>Modernizacja drogi powiatowej nr 1341D na odcinku  dł. ok. 1,305 km od obrębu skrzyżowania z drogą nr 1911D w m. Łosice do wiaduktu  drogi S-8 w m.</w:t>
      </w:r>
      <w:r w:rsidR="00D330B0">
        <w:rPr>
          <w:rFonts w:ascii="Arial" w:hAnsi="Arial" w:cs="Arial"/>
          <w:b/>
          <w:color w:val="000000" w:themeColor="text1"/>
          <w:sz w:val="18"/>
          <w:szCs w:val="18"/>
        </w:rPr>
        <w:t xml:space="preserve"> Budziwojowice, gmina Długołęka.</w:t>
      </w: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Podwykonawca(cy) oraz dalszy(si) podwykonawca(cy)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c9)  </w:t>
      </w:r>
      <w:r w:rsidR="0058038A"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58038A"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 xml:space="preserve">do doprowadzenia do zmiany tej umowy w terminie nie dłuższym niż </w:t>
      </w:r>
      <w:r w:rsidR="00997CC4">
        <w:rPr>
          <w:rFonts w:ascii="Arial" w:hAnsi="Arial" w:cs="Arial"/>
          <w:color w:val="0070C0"/>
          <w:sz w:val="18"/>
          <w:szCs w:val="18"/>
          <w:lang w:eastAsia="en-US"/>
        </w:rPr>
        <w:t>7</w:t>
      </w:r>
      <w:r w:rsidRPr="00272171">
        <w:rPr>
          <w:rFonts w:ascii="Arial" w:hAnsi="Arial" w:cs="Arial"/>
          <w:color w:val="000000" w:themeColor="text1"/>
          <w:sz w:val="18"/>
          <w:szCs w:val="18"/>
          <w:lang w:eastAsia="en-US"/>
        </w:rPr>
        <w:t xml:space="preserve">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D330B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FA09EB">
        <w:rPr>
          <w:rFonts w:ascii="Arial" w:hAnsi="Arial" w:cs="Arial"/>
          <w:b/>
          <w:bCs/>
          <w:color w:val="000000" w:themeColor="text1"/>
        </w:rPr>
        <w:t>do 7</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58038A" w:rsidRDefault="0058038A" w:rsidP="00B22E27">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B22E27">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w:t>
      </w:r>
      <w:r w:rsidRPr="00272171">
        <w:rPr>
          <w:rFonts w:ascii="Arial" w:hAnsi="Arial" w:cs="Arial"/>
          <w:color w:val="000000" w:themeColor="text1"/>
          <w:sz w:val="18"/>
          <w:szCs w:val="18"/>
        </w:rPr>
        <w:lastRenderedPageBreak/>
        <w:t>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997CC4">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 </w:t>
      </w:r>
      <w:r w:rsidR="00997CC4" w:rsidRPr="00D7723C">
        <w:rPr>
          <w:rFonts w:ascii="Arial" w:hAnsi="Arial" w:cs="Arial"/>
          <w:color w:val="0070C0"/>
          <w:sz w:val="18"/>
          <w:szCs w:val="18"/>
        </w:rPr>
        <w:t>w terminie do 14 dni od dnia przedłożenia propozycji zmiany, zgodnie z ust. 6 (z zastrzeżeniem ust. 7)</w:t>
      </w:r>
      <w:r w:rsidR="00997CC4" w:rsidRPr="00D7723C">
        <w:rPr>
          <w:rFonts w:ascii="Arial" w:hAnsi="Arial" w:cs="Arial"/>
          <w:color w:val="000000" w:themeColor="text1"/>
          <w:sz w:val="18"/>
          <w:szCs w:val="18"/>
        </w:rPr>
        <w:t>.</w:t>
      </w:r>
      <w:r w:rsidR="00997CC4">
        <w:rPr>
          <w:rFonts w:ascii="Arial" w:hAnsi="Arial" w:cs="Arial"/>
          <w:color w:val="000000" w:themeColor="text1"/>
          <w:sz w:val="18"/>
          <w:szCs w:val="18"/>
        </w:rPr>
        <w:t xml:space="preserve"> </w:t>
      </w:r>
      <w:r w:rsidRPr="00272171">
        <w:rPr>
          <w:rFonts w:ascii="Arial" w:hAnsi="Arial" w:cs="Arial"/>
          <w:color w:val="000000" w:themeColor="text1"/>
          <w:sz w:val="18"/>
          <w:szCs w:val="18"/>
        </w:rPr>
        <w:t>Zmiana ww. osób wymaga aneksu do umowy podpisanego przez obie strony umowy.</w:t>
      </w:r>
      <w:r w:rsidR="00997CC4">
        <w:rPr>
          <w:rFonts w:ascii="Arial" w:hAnsi="Arial" w:cs="Arial"/>
          <w:color w:val="000000" w:themeColor="text1"/>
          <w:sz w:val="18"/>
          <w:szCs w:val="18"/>
        </w:rPr>
        <w:t xml:space="preserve"> </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 xml:space="preserve">w rozumieniu przepisów ustawy z dnia 26 czerwca 1974 r.  – Kodeks pracy (t.j.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t xml:space="preserve">późn. zm.) </w:t>
      </w:r>
      <w:r w:rsidRPr="00272171">
        <w:rPr>
          <w:rFonts w:ascii="Arial" w:hAnsi="Arial" w:cs="Arial"/>
          <w:color w:val="000000" w:themeColor="text1"/>
          <w:sz w:val="18"/>
          <w:szCs w:val="18"/>
        </w:rPr>
        <w:t>pracowników wykonujących nw. czynności:</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robót pomiarowych i geodezyjnych,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roboty ziemne i wywóz urobku,</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profilowanie i zagęszczenie koryta,</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warstwy konstrukcyjnej z kruszywa,</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frezowanie nawierzchni bitumicznej jezdni,</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ręczne rozebranie nawierzchni z mieszanek mineralno-bitumicznych,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warstwy wiążącej nawierzchni z masy mineralno asfaltowej,</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oczyszczenie oraz skropienie emulsją asfaltową istniejących warstw bitumicznych i podbudowy,</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warstwy ścieralnej nawierzchni z masy mineralno asfaltowej,</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utwardzenie poboczy i zjazdów frezem/kruszywem kamiennym,</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podbudowy i nawierzchni z kruszywa kamiennego oraz frezowany,</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rozbiórka kostki betonowej w chodnikach i zjazdach,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lastRenderedPageBreak/>
        <w:t>ułożeniu kostki betonowej w chodnikach i zjazdach,</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ustawienie krawężniki betonowe na ławie betonowych z oporem,</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oznakowania poziomego grubowarstwowego,</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wykonanie oznakowania pionowego,</w:t>
      </w:r>
    </w:p>
    <w:p w:rsidR="00AE620A" w:rsidRPr="00AE620A" w:rsidRDefault="00AE620A" w:rsidP="00AE620A">
      <w:pPr>
        <w:pStyle w:val="Akapitzlist5"/>
        <w:numPr>
          <w:ilvl w:val="3"/>
          <w:numId w:val="5"/>
        </w:numPr>
        <w:tabs>
          <w:tab w:val="left" w:pos="851"/>
        </w:tabs>
        <w:ind w:left="855" w:hanging="429"/>
        <w:contextualSpacing/>
        <w:jc w:val="both"/>
        <w:rPr>
          <w:b w:val="0"/>
          <w:color w:val="000000" w:themeColor="text1"/>
          <w:sz w:val="18"/>
          <w:szCs w:val="18"/>
        </w:rPr>
      </w:pPr>
      <w:r w:rsidRPr="00AE620A">
        <w:rPr>
          <w:b w:val="0"/>
          <w:color w:val="000000" w:themeColor="text1"/>
          <w:sz w:val="18"/>
          <w:szCs w:val="18"/>
        </w:rPr>
        <w:t>wywóz urobku i sprzątanie terenu budowy.</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o pracę wraz ze wskazaniem liczby tych osób, imion i nazwisk tych osób, rodzaju umowy o pracę</w:t>
      </w:r>
      <w:r w:rsidR="0058038A">
        <w:rPr>
          <w:rFonts w:ascii="Arial" w:hAnsi="Arial" w:cs="Arial"/>
          <w:color w:val="000000" w:themeColor="text1"/>
          <w:sz w:val="18"/>
          <w:szCs w:val="18"/>
        </w:rPr>
        <w:t xml:space="preserve">, daty zawarcia umowy, </w:t>
      </w:r>
      <w:r w:rsidRPr="00272171">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D552EB" w:rsidRPr="00997CC4" w:rsidRDefault="00D552EB" w:rsidP="00D552EB">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997CC4">
        <w:rPr>
          <w:rFonts w:ascii="Arial" w:hAnsi="Arial" w:cs="Arial"/>
          <w:color w:val="000000" w:themeColor="text1"/>
          <w:sz w:val="18"/>
          <w:szCs w:val="18"/>
        </w:rPr>
        <w:t xml:space="preserve">W trakcie realizacji zamówienia na każde </w:t>
      </w:r>
      <w:r w:rsidR="00997CC4">
        <w:rPr>
          <w:rFonts w:ascii="Arial" w:hAnsi="Arial" w:cs="Arial"/>
          <w:color w:val="0070C0"/>
          <w:sz w:val="18"/>
          <w:szCs w:val="18"/>
        </w:rPr>
        <w:t xml:space="preserve">pisemne </w:t>
      </w:r>
      <w:r w:rsidRPr="00997CC4">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D552EB" w:rsidRPr="00997CC4" w:rsidRDefault="00D552EB" w:rsidP="00D552EB">
      <w:pPr>
        <w:numPr>
          <w:ilvl w:val="0"/>
          <w:numId w:val="42"/>
        </w:numPr>
        <w:ind w:left="709" w:hanging="218"/>
        <w:contextualSpacing/>
        <w:jc w:val="both"/>
        <w:rPr>
          <w:rFonts w:ascii="Arial" w:eastAsia="Calibri" w:hAnsi="Arial" w:cs="Arial"/>
          <w:color w:val="000000" w:themeColor="text1"/>
          <w:sz w:val="18"/>
          <w:szCs w:val="18"/>
        </w:rPr>
      </w:pPr>
      <w:r w:rsidRPr="00997CC4">
        <w:rPr>
          <w:rFonts w:ascii="Arial" w:eastAsia="Calibri" w:hAnsi="Arial" w:cs="Arial"/>
          <w:b/>
          <w:color w:val="000000" w:themeColor="text1"/>
          <w:sz w:val="18"/>
          <w:szCs w:val="18"/>
        </w:rPr>
        <w:t>oświadczenie Wykonawcy lub podwykonawcy</w:t>
      </w:r>
      <w:r w:rsidRPr="00997CC4">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D552EB" w:rsidRPr="00997CC4" w:rsidRDefault="00D552EB" w:rsidP="00D552EB">
      <w:pPr>
        <w:numPr>
          <w:ilvl w:val="0"/>
          <w:numId w:val="42"/>
        </w:numPr>
        <w:ind w:left="709" w:hanging="218"/>
        <w:contextualSpacing/>
        <w:jc w:val="both"/>
        <w:rPr>
          <w:rFonts w:ascii="Arial" w:eastAsia="Calibri" w:hAnsi="Arial" w:cs="Arial"/>
          <w:color w:val="000000" w:themeColor="text1"/>
          <w:sz w:val="18"/>
          <w:szCs w:val="18"/>
        </w:rPr>
      </w:pPr>
      <w:r w:rsidRPr="00997CC4">
        <w:rPr>
          <w:rFonts w:ascii="Arial" w:eastAsia="Calibri" w:hAnsi="Arial" w:cs="Arial"/>
          <w:color w:val="000000" w:themeColor="text1"/>
          <w:sz w:val="18"/>
          <w:szCs w:val="18"/>
        </w:rPr>
        <w:t xml:space="preserve">poświadczoną za zgodność z oryginałem odpowiednio przez Wykonawcę lub podwykonawcę </w:t>
      </w:r>
      <w:r w:rsidRPr="00997CC4">
        <w:rPr>
          <w:rFonts w:ascii="Arial" w:eastAsia="Calibri" w:hAnsi="Arial" w:cs="Arial"/>
          <w:b/>
          <w:color w:val="000000" w:themeColor="text1"/>
          <w:sz w:val="18"/>
          <w:szCs w:val="18"/>
        </w:rPr>
        <w:t>kopię/e umowy/umów o pracę</w:t>
      </w:r>
      <w:r w:rsidRPr="00997CC4">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D552EB" w:rsidRPr="00997CC4" w:rsidRDefault="00D552EB" w:rsidP="00D552EB">
      <w:pPr>
        <w:numPr>
          <w:ilvl w:val="0"/>
          <w:numId w:val="42"/>
        </w:numPr>
        <w:ind w:left="709" w:hanging="218"/>
        <w:contextualSpacing/>
        <w:jc w:val="both"/>
        <w:rPr>
          <w:rFonts w:ascii="Arial" w:eastAsia="Calibri" w:hAnsi="Arial" w:cs="Arial"/>
          <w:color w:val="000000" w:themeColor="text1"/>
          <w:sz w:val="18"/>
          <w:szCs w:val="18"/>
        </w:rPr>
      </w:pPr>
      <w:r w:rsidRPr="00997CC4">
        <w:rPr>
          <w:rFonts w:ascii="Arial" w:eastAsia="Calibri" w:hAnsi="Arial" w:cs="Arial"/>
          <w:b/>
          <w:color w:val="000000" w:themeColor="text1"/>
          <w:sz w:val="18"/>
          <w:szCs w:val="18"/>
        </w:rPr>
        <w:t>inne dokumenty np. zaświadczenie właściwego oddziału ZUS</w:t>
      </w:r>
      <w:r w:rsidRPr="00997CC4">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D552EB" w:rsidRPr="00997CC4" w:rsidRDefault="00D552EB" w:rsidP="00D552EB">
      <w:pPr>
        <w:ind w:left="491"/>
        <w:contextualSpacing/>
        <w:jc w:val="both"/>
        <w:rPr>
          <w:rFonts w:ascii="Arial" w:eastAsia="Calibri" w:hAnsi="Arial" w:cs="Arial"/>
          <w:color w:val="000000" w:themeColor="text1"/>
          <w:sz w:val="18"/>
          <w:szCs w:val="18"/>
        </w:rPr>
      </w:pPr>
      <w:r w:rsidRPr="00997CC4">
        <w:rPr>
          <w:rFonts w:ascii="Arial" w:eastAsia="Calibri" w:hAnsi="Arial" w:cs="Arial"/>
          <w:color w:val="000000" w:themeColor="text1"/>
          <w:sz w:val="18"/>
          <w:szCs w:val="18"/>
        </w:rPr>
        <w:t xml:space="preserve">- zawierające informacje, w tym dane osobowe, niezbędne do weryfikacji zatrudnienia na podstawie umowy </w:t>
      </w:r>
      <w:r w:rsidRPr="00997CC4">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niespełnienia przez Wykonawcę lub podwykonawcę wymogu zatrudnienia na podstawie umowy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6D4E7B">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poż.,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wyłączeń, włączeń, prób eksploatacyjnych i innych pomiarów,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Zgodnie z zapisami rozporządzenia Ministra Infrastruktury z dnia 23.06.2003r. w sprawie informacji dotyczącej bezpieczeństwa i ochrony zdrowia oraz planu bezpieczeństwa i ochrony zdrowia (Dz.U.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(t.j.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(t.j.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złoży w siedzibie Zamawiającego, celem zatwierdzenia, projekty organizacji ruchu tymczasowego (w 2 egz.) dla zabezpieczenia robót wraz z niezbędnymi załącznikami, w tym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z projektem, o którym mowa powyżej, na warunkach określonych w zatwierdzeniu organu zarządzającego ruchem na drogach powiatowych. Wykonawca odpowiada za zabezpieczenie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i oznakowanie miejsca robót w sposób widoczny zarówno w dzień jak i w nocy oraz utrzymanie ich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dopuszczone do użytku na terenie kraju na podstawie odrębnych przepisów </w:t>
      </w:r>
      <w:r w:rsidRPr="00272171">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 i uchylające dyrektywę Rady 89/106/EWG (Dz. U. UE. 2011.88.5 z dnia 4 kwietnia 2011r.) i ustawy z dnia 16 kwietnia 2004r. o wyrobach budowlanych (t.j.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późn.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(t.j. Dz. U. z 2018 r. poz. 1202 z późn.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997CC4">
        <w:rPr>
          <w:rFonts w:ascii="Arial" w:hAnsi="Arial" w:cs="Arial"/>
          <w:color w:val="0070C0"/>
          <w:sz w:val="18"/>
          <w:szCs w:val="18"/>
        </w:rPr>
        <w:t xml:space="preserve">pisemne </w:t>
      </w:r>
      <w:r w:rsidRPr="00272171">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 i dokumentacją. </w:t>
      </w:r>
      <w:r w:rsidR="00997CC4" w:rsidRPr="00D7723C">
        <w:rPr>
          <w:rFonts w:ascii="Arial" w:hAnsi="Arial" w:cs="Arial"/>
          <w:color w:val="0070C0"/>
          <w:sz w:val="18"/>
          <w:szCs w:val="18"/>
        </w:rPr>
        <w:t>Zamawiający w terminie do 3 dni roboczych pisemnie poinformuje Wykonawcę o zatwierdzeniu lub jego braku dla danych materiałów.</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997CC4">
        <w:rPr>
          <w:rFonts w:ascii="Arial" w:hAnsi="Arial" w:cs="Arial"/>
          <w:color w:val="0070C0"/>
          <w:sz w:val="18"/>
          <w:szCs w:val="18"/>
        </w:rPr>
        <w:t xml:space="preserve">pisemne </w:t>
      </w:r>
      <w:r w:rsidRPr="00272171">
        <w:rPr>
          <w:rFonts w:ascii="Arial" w:hAnsi="Arial" w:cs="Arial"/>
          <w:color w:val="000000" w:themeColor="text1"/>
          <w:sz w:val="18"/>
          <w:szCs w:val="18"/>
        </w:rPr>
        <w:t xml:space="preserve">żądanie Zamawiającego w zakresie dodatkowego zbadania jakości robót wykonanych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wyłączeń, włączeń, prób eksploatacyjnych i innych pomiarów,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Dokumentami rozliczeniowymi będą m.in. dokumenty dopuszczające wyroby budowlane do obrotu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i przepisami oraz o doprowadzeniu do należytego stanu i porządku terenu budowy, a także (w razie </w:t>
      </w:r>
      <w:r w:rsidRPr="00272171">
        <w:rPr>
          <w:rFonts w:ascii="Arial" w:hAnsi="Arial" w:cs="Arial"/>
          <w:color w:val="000000" w:themeColor="text1"/>
          <w:sz w:val="18"/>
          <w:szCs w:val="18"/>
        </w:rPr>
        <w:lastRenderedPageBreak/>
        <w:t>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lastRenderedPageBreak/>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3C16C6" w:rsidRPr="00272171" w:rsidRDefault="003C16C6" w:rsidP="006F07F3">
      <w:pPr>
        <w:autoSpaceDE w:val="0"/>
        <w:autoSpaceDN w:val="0"/>
        <w:adjustRightInd w:val="0"/>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 xml:space="preserve">w uzasadnionych przypadkach - wykonania rozwiązań zamiennych w stosunku do projektowanych </w:t>
      </w:r>
      <w:r w:rsidR="00CB5AFF">
        <w:rPr>
          <w:rFonts w:cs="Arial"/>
          <w:color w:val="000000" w:themeColor="text1"/>
        </w:rPr>
        <w:t xml:space="preserve">                        </w:t>
      </w:r>
      <w:r w:rsidRPr="00272171">
        <w:rPr>
          <w:rFonts w:cs="Arial"/>
          <w:color w:val="000000" w:themeColor="text1"/>
        </w:rPr>
        <w:t>w dokumentacji dot. przedmiotu niniejszej umowy, tj. robót rzeczowo przewidzianych w zamówieniu, ale 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 przypadku ewentualnej zmiany wynagrodzenia wynikającej z zastosowania rozwiązań zamiennych, </w:t>
      </w:r>
      <w:r w:rsidR="00CB5AFF">
        <w:rPr>
          <w:rFonts w:cs="Arial"/>
          <w:color w:val="000000" w:themeColor="text1"/>
        </w:rPr>
        <w:t xml:space="preserve">                         </w:t>
      </w:r>
      <w:r w:rsidRPr="00272171">
        <w:rPr>
          <w:rFonts w:cs="Arial"/>
          <w:color w:val="000000" w:themeColor="text1"/>
        </w:rPr>
        <w:t>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publikowanej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lastRenderedPageBreak/>
        <w:t xml:space="preserve">Jeżeli będzie miało zastosowanie wykonanie robót dodatkowych, o których mowa w ust. 1  Wykonawca przedłoży Zamawiającemu kosztorys ofertowy, w którym każda z cen jednostkowych będzie określona </w:t>
      </w:r>
      <w:r w:rsidR="00CB5AFF">
        <w:rPr>
          <w:rFonts w:cs="Arial"/>
          <w:color w:val="000000" w:themeColor="text1"/>
        </w:rPr>
        <w:t xml:space="preserve">                        </w:t>
      </w:r>
      <w:r w:rsidRPr="00272171">
        <w:rPr>
          <w:rFonts w:cs="Arial"/>
          <w:color w:val="000000" w:themeColor="text1"/>
        </w:rPr>
        <w:t>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cena wyliczona zgodnie z pkt. 2) powyżej nie może być wyższa niż 80% średniej ceny robót danej branży dla rejonu Dolnego Śląska publikowana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Gwarancja obejmuje wszystkie wykonane roboty budowlane, a także wbudowane wyroby budowlane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Okres gwarancji biegnie od nowa w przypadku wymiany elementu na nowy, wolny od wad, a także w przypadku dokonania istotnych napraw elementu. W pozostałych przypadkach termin gwarancji ulega przedłużeniu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t xml:space="preserve">o podwykonawstwo (kara będzie nakładana za każdy przypadek braku zmiany umowy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lastRenderedPageBreak/>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niewypełnienie obowiązku zatrudnienia pracowników na podstawie umowy o pracę , o którym mowa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920E0E">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z wyprzedzeniem co najmniej 2 dni roboczych zgłasza gotowość do odbioru robót zanikających</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407263">
        <w:rPr>
          <w:rFonts w:ascii="Arial" w:hAnsi="Arial" w:cs="Arial"/>
          <w:color w:val="0070C0"/>
          <w:sz w:val="18"/>
          <w:szCs w:val="18"/>
          <w:lang w:eastAsia="en-US"/>
        </w:rPr>
        <w:t xml:space="preserve"> - </w:t>
      </w:r>
      <w:r w:rsidRPr="00272171">
        <w:rPr>
          <w:rFonts w:ascii="Arial" w:hAnsi="Arial" w:cs="Arial"/>
          <w:color w:val="000000" w:themeColor="text1"/>
          <w:sz w:val="18"/>
          <w:szCs w:val="18"/>
          <w:lang w:eastAsia="en-US"/>
        </w:rPr>
        <w:t>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 xml:space="preserve">do dziennika budowy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i potwierdzenia tego faktu </w:t>
      </w:r>
      <w:r w:rsidR="00143D7A" w:rsidRPr="002456EC">
        <w:rPr>
          <w:rFonts w:ascii="Arial" w:hAnsi="Arial" w:cs="Arial"/>
          <w:color w:val="0070C0"/>
          <w:sz w:val="18"/>
          <w:szCs w:val="18"/>
          <w:lang w:eastAsia="en-US"/>
        </w:rPr>
        <w:t xml:space="preserve">w terminie do </w:t>
      </w:r>
      <w:r w:rsidR="00143D7A">
        <w:rPr>
          <w:rFonts w:ascii="Arial" w:hAnsi="Arial" w:cs="Arial"/>
          <w:color w:val="0070C0"/>
          <w:sz w:val="18"/>
          <w:szCs w:val="18"/>
          <w:lang w:eastAsia="en-US"/>
        </w:rPr>
        <w:t xml:space="preserve">3 dni roboczych </w:t>
      </w:r>
      <w:r w:rsidRPr="00272171">
        <w:rPr>
          <w:rFonts w:ascii="Arial" w:hAnsi="Arial" w:cs="Arial"/>
          <w:color w:val="000000" w:themeColor="text1"/>
          <w:sz w:val="18"/>
          <w:szCs w:val="18"/>
          <w:lang w:eastAsia="en-US"/>
        </w:rPr>
        <w:t>przez Zamawiającego</w:t>
      </w:r>
      <w:r w:rsidR="00407263">
        <w:rPr>
          <w:rFonts w:ascii="Arial" w:hAnsi="Arial" w:cs="Arial"/>
          <w:color w:val="000000" w:themeColor="text1"/>
          <w:sz w:val="18"/>
          <w:szCs w:val="18"/>
          <w:lang w:eastAsia="en-US"/>
        </w:rPr>
        <w:t xml:space="preserve"> </w:t>
      </w:r>
      <w:r w:rsidR="00407263">
        <w:rPr>
          <w:rFonts w:ascii="Arial" w:hAnsi="Arial" w:cs="Arial"/>
          <w:color w:val="0070C0"/>
          <w:sz w:val="18"/>
          <w:szCs w:val="18"/>
          <w:lang w:eastAsia="en-US"/>
        </w:rPr>
        <w:t>-</w:t>
      </w:r>
      <w:r w:rsidRPr="00272171">
        <w:rPr>
          <w:rFonts w:ascii="Arial" w:hAnsi="Arial" w:cs="Arial"/>
          <w:color w:val="000000" w:themeColor="text1"/>
          <w:sz w:val="18"/>
          <w:szCs w:val="18"/>
          <w:lang w:eastAsia="en-US"/>
        </w:rPr>
        <w:t xml:space="preserve"> po zgłoszeniu przez Wykonawcę zakończenia robót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w:t>
      </w:r>
      <w:r w:rsidRPr="00272171">
        <w:rPr>
          <w:rFonts w:ascii="Arial" w:hAnsi="Arial" w:cs="Arial"/>
          <w:color w:val="000000" w:themeColor="text1"/>
          <w:sz w:val="18"/>
          <w:szCs w:val="18"/>
          <w:lang w:eastAsia="en-US"/>
        </w:rPr>
        <w:lastRenderedPageBreak/>
        <w:t>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wykonuje roboty wadliwe, nieterminowo, niezgodnie z </w:t>
      </w:r>
      <w:r w:rsidR="00997CC4">
        <w:rPr>
          <w:rFonts w:ascii="Arial" w:hAnsi="Arial" w:cs="Arial"/>
          <w:color w:val="0070C0"/>
          <w:sz w:val="18"/>
          <w:szCs w:val="18"/>
          <w:lang w:eastAsia="en-US"/>
        </w:rPr>
        <w:t xml:space="preserve">pisemnymi </w:t>
      </w:r>
      <w:r w:rsidRPr="00272171">
        <w:rPr>
          <w:rFonts w:ascii="Arial" w:hAnsi="Arial" w:cs="Arial"/>
          <w:color w:val="000000" w:themeColor="text1"/>
          <w:sz w:val="18"/>
          <w:szCs w:val="18"/>
          <w:lang w:eastAsia="en-US"/>
        </w:rPr>
        <w:t>polecaniami Zamawiającego i niniejszą umową,  Specyfikacjami Technicznymi Wykonania i Odbioru Robót Budowlanych (STWiORB),</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razie odstąpienia od umowy, Wykonawca przy udziale Zamawiającego sporządzi protokół inwentaryzacji robót w toku w terminie </w:t>
      </w:r>
      <w:r w:rsidR="00C81F3C">
        <w:rPr>
          <w:rFonts w:ascii="Arial" w:hAnsi="Arial" w:cs="Arial"/>
          <w:color w:val="0070C0"/>
          <w:sz w:val="18"/>
          <w:szCs w:val="18"/>
        </w:rPr>
        <w:t>7</w:t>
      </w:r>
      <w:r w:rsidRPr="00272171">
        <w:rPr>
          <w:rFonts w:ascii="Arial" w:hAnsi="Arial" w:cs="Arial"/>
          <w:color w:val="000000" w:themeColor="text1"/>
          <w:sz w:val="18"/>
          <w:szCs w:val="18"/>
        </w:rPr>
        <w:t xml:space="preserve"> dni od dnia odstąpienia od umowy.</w:t>
      </w:r>
    </w:p>
    <w:p w:rsidR="00D330B0" w:rsidRPr="00885B14" w:rsidRDefault="00346E7C" w:rsidP="00885B14">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 xml:space="preserve">jeżeli wskutek opóźnień w wykonywaniu prac wystąpi opóźnienie lub wydłużenie </w:t>
      </w:r>
      <w:r w:rsidRPr="00272171">
        <w:rPr>
          <w:rFonts w:ascii="Arial" w:hAnsi="Arial" w:cs="Arial"/>
          <w:color w:val="000000" w:themeColor="text1"/>
          <w:sz w:val="18"/>
          <w:szCs w:val="18"/>
        </w:rPr>
        <w:lastRenderedPageBreak/>
        <w:t>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 xml:space="preserve">ceny jednostkowe przyjęte przy kalkulacji </w:t>
      </w:r>
      <w:r w:rsidR="00CB5AFF">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t>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 xml:space="preserve">w § 4 ust. 2 niniejszej umowy poprzez wydłużenie o okres niezbędny do dokończenia robót,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w:t>
      </w:r>
      <w:r w:rsidR="00CB5AFF">
        <w:rPr>
          <w:rFonts w:ascii="Arial" w:hAnsi="Arial" w:cs="Arial"/>
          <w:color w:val="000000" w:themeColor="text1"/>
          <w:sz w:val="18"/>
          <w:szCs w:val="18"/>
        </w:rPr>
        <w:t xml:space="preserve">                             </w:t>
      </w:r>
      <w:r w:rsidRPr="00272171">
        <w:rPr>
          <w:rFonts w:ascii="Arial" w:hAnsi="Arial" w:cs="Arial"/>
          <w:color w:val="000000" w:themeColor="text1"/>
          <w:sz w:val="18"/>
          <w:szCs w:val="18"/>
        </w:rPr>
        <w:t>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D330B0" w:rsidRDefault="003C16C6" w:rsidP="00D330B0">
      <w:pPr>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D330B0" w:rsidRDefault="003C16C6" w:rsidP="00D330B0">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D330B0"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późn.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(t.j.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późn.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w:t>
      </w:r>
      <w:r w:rsidR="00CB5AFF">
        <w:rPr>
          <w:rFonts w:ascii="Arial" w:eastAsia="SimSun" w:hAnsi="Arial" w:cs="Arial"/>
          <w:color w:val="000000" w:themeColor="text1"/>
          <w:kern w:val="1"/>
          <w:sz w:val="18"/>
          <w:szCs w:val="18"/>
          <w:lang w:eastAsia="hi-IN" w:bidi="hi-IN"/>
        </w:rPr>
        <w:t xml:space="preserve">                     </w:t>
      </w:r>
      <w:r w:rsidRPr="00272171">
        <w:rPr>
          <w:rFonts w:ascii="Arial" w:eastAsia="SimSun" w:hAnsi="Arial" w:cs="Arial"/>
          <w:color w:val="000000" w:themeColor="text1"/>
          <w:kern w:val="1"/>
          <w:sz w:val="18"/>
          <w:szCs w:val="18"/>
          <w:lang w:eastAsia="hi-IN" w:bidi="hi-IN"/>
        </w:rPr>
        <w:t>o ile na mocy wcześniejszych porozumień lub umów zawartych przez Wykonawcę nie zostały one określone, 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D552EB">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F3C" w:rsidRDefault="00C81F3C" w:rsidP="00150280">
      <w:r>
        <w:separator/>
      </w:r>
    </w:p>
  </w:endnote>
  <w:endnote w:type="continuationSeparator" w:id="0">
    <w:p w:rsidR="00C81F3C" w:rsidRDefault="00C81F3C"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F3C" w:rsidRPr="00150280" w:rsidRDefault="00C81F3C">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55209F">
      <w:rPr>
        <w:rFonts w:ascii="Arial" w:hAnsi="Arial" w:cs="Arial"/>
        <w:noProof/>
        <w:sz w:val="18"/>
        <w:szCs w:val="18"/>
      </w:rPr>
      <w:t>19</w:t>
    </w:r>
    <w:r w:rsidRPr="00150280">
      <w:rPr>
        <w:rFonts w:ascii="Arial" w:hAnsi="Arial" w:cs="Arial"/>
        <w:sz w:val="18"/>
        <w:szCs w:val="18"/>
      </w:rPr>
      <w:fldChar w:fldCharType="end"/>
    </w:r>
  </w:p>
  <w:p w:rsidR="00C81F3C" w:rsidRDefault="00C81F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F3C" w:rsidRDefault="00C81F3C" w:rsidP="00150280">
      <w:r>
        <w:separator/>
      </w:r>
    </w:p>
  </w:footnote>
  <w:footnote w:type="continuationSeparator" w:id="0">
    <w:p w:rsidR="00C81F3C" w:rsidRDefault="00C81F3C"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0E86174"/>
    <w:lvl w:ilvl="0" w:tplc="3ACCF30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C1EAB692"/>
    <w:lvl w:ilvl="0" w:tplc="B0FC28A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79A4424"/>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6"/>
  </w:num>
  <w:num w:numId="5">
    <w:abstractNumId w:val="5"/>
  </w:num>
  <w:num w:numId="6">
    <w:abstractNumId w:val="3"/>
  </w:num>
  <w:num w:numId="7">
    <w:abstractNumId w:val="21"/>
  </w:num>
  <w:num w:numId="8">
    <w:abstractNumId w:val="47"/>
  </w:num>
  <w:num w:numId="9">
    <w:abstractNumId w:val="34"/>
  </w:num>
  <w:num w:numId="10">
    <w:abstractNumId w:val="13"/>
  </w:num>
  <w:num w:numId="11">
    <w:abstractNumId w:val="26"/>
  </w:num>
  <w:num w:numId="12">
    <w:abstractNumId w:val="12"/>
  </w:num>
  <w:num w:numId="13">
    <w:abstractNumId w:val="19"/>
  </w:num>
  <w:num w:numId="14">
    <w:abstractNumId w:val="43"/>
  </w:num>
  <w:num w:numId="15">
    <w:abstractNumId w:val="17"/>
  </w:num>
  <w:num w:numId="16">
    <w:abstractNumId w:val="31"/>
  </w:num>
  <w:num w:numId="17">
    <w:abstractNumId w:val="40"/>
  </w:num>
  <w:num w:numId="18">
    <w:abstractNumId w:val="42"/>
  </w:num>
  <w:num w:numId="19">
    <w:abstractNumId w:val="27"/>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2"/>
  </w:num>
  <w:num w:numId="26">
    <w:abstractNumId w:val="48"/>
  </w:num>
  <w:num w:numId="27">
    <w:abstractNumId w:val="44"/>
  </w:num>
  <w:num w:numId="28">
    <w:abstractNumId w:val="51"/>
  </w:num>
  <w:num w:numId="29">
    <w:abstractNumId w:val="23"/>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5"/>
  </w:num>
  <w:num w:numId="34">
    <w:abstractNumId w:val="18"/>
  </w:num>
  <w:num w:numId="35">
    <w:abstractNumId w:val="14"/>
  </w:num>
  <w:num w:numId="36">
    <w:abstractNumId w:val="41"/>
  </w:num>
  <w:num w:numId="37">
    <w:abstractNumId w:val="38"/>
  </w:num>
  <w:num w:numId="38">
    <w:abstractNumId w:val="45"/>
  </w:num>
  <w:num w:numId="39">
    <w:abstractNumId w:val="0"/>
  </w:num>
  <w:num w:numId="40">
    <w:abstractNumId w:val="29"/>
  </w:num>
  <w:num w:numId="41">
    <w:abstractNumId w:val="32"/>
  </w:num>
  <w:num w:numId="42">
    <w:abstractNumId w:val="36"/>
  </w:num>
  <w:num w:numId="43">
    <w:abstractNumId w:val="7"/>
  </w:num>
  <w:num w:numId="44">
    <w:abstractNumId w:val="10"/>
  </w:num>
  <w:num w:numId="45">
    <w:abstractNumId w:val="8"/>
  </w:num>
  <w:num w:numId="46">
    <w:abstractNumId w:val="49"/>
  </w:num>
  <w:num w:numId="47">
    <w:abstractNumId w:val="33"/>
  </w:num>
  <w:num w:numId="48">
    <w:abstractNumId w:val="28"/>
  </w:num>
  <w:num w:numId="49">
    <w:abstractNumId w:val="11"/>
  </w:num>
  <w:num w:numId="50">
    <w:abstractNumId w:val="39"/>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3D7A"/>
    <w:rsid w:val="00144D56"/>
    <w:rsid w:val="00144E1F"/>
    <w:rsid w:val="0014591D"/>
    <w:rsid w:val="0015002B"/>
    <w:rsid w:val="00150280"/>
    <w:rsid w:val="001502A7"/>
    <w:rsid w:val="00150EB8"/>
    <w:rsid w:val="00151F3B"/>
    <w:rsid w:val="00152D75"/>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07263"/>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09F"/>
    <w:rsid w:val="00552145"/>
    <w:rsid w:val="005529AD"/>
    <w:rsid w:val="00552D64"/>
    <w:rsid w:val="00554079"/>
    <w:rsid w:val="00554109"/>
    <w:rsid w:val="0056130B"/>
    <w:rsid w:val="005613A4"/>
    <w:rsid w:val="005660A8"/>
    <w:rsid w:val="00570DE0"/>
    <w:rsid w:val="00572F2C"/>
    <w:rsid w:val="005741F3"/>
    <w:rsid w:val="00576D06"/>
    <w:rsid w:val="005770D0"/>
    <w:rsid w:val="0058038A"/>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7B"/>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1C27"/>
    <w:rsid w:val="00872870"/>
    <w:rsid w:val="00882464"/>
    <w:rsid w:val="00882D55"/>
    <w:rsid w:val="0088505D"/>
    <w:rsid w:val="008858F2"/>
    <w:rsid w:val="00885B14"/>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0E0E"/>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97CC4"/>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2DE7"/>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1F3C"/>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B5AFF"/>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330B0"/>
    <w:rsid w:val="00D46BFE"/>
    <w:rsid w:val="00D46DD6"/>
    <w:rsid w:val="00D47F5E"/>
    <w:rsid w:val="00D52408"/>
    <w:rsid w:val="00D541F0"/>
    <w:rsid w:val="00D552EB"/>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180C"/>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24C2"/>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09EB"/>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FA539"/>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19</Pages>
  <Words>13211</Words>
  <Characters>86429</Characters>
  <Application>Microsoft Office Word</Application>
  <DocSecurity>0</DocSecurity>
  <Lines>720</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9</cp:revision>
  <cp:lastPrinted>2019-03-12T06:55:00Z</cp:lastPrinted>
  <dcterms:created xsi:type="dcterms:W3CDTF">2019-05-14T10:28:00Z</dcterms:created>
  <dcterms:modified xsi:type="dcterms:W3CDTF">2019-05-24T12:07:00Z</dcterms:modified>
</cp:coreProperties>
</file>