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7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C2C32" w:rsidRPr="003E660F" w:rsidTr="009F4E27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0C2C32" w:rsidRPr="003E660F" w:rsidRDefault="00DF77FC" w:rsidP="009F4E27">
            <w:pPr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="000C2C32" w:rsidRPr="003E660F">
              <w:rPr>
                <w:sz w:val="22"/>
                <w:szCs w:val="22"/>
              </w:rPr>
              <w:t>Sposób i miejsce złożenia dokumentów:</w:t>
            </w:r>
          </w:p>
        </w:tc>
      </w:tr>
      <w:tr w:rsidR="000C2C32" w:rsidRPr="003E660F" w:rsidTr="009F4E27">
        <w:trPr>
          <w:trHeight w:val="13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autoSpaceDE w:val="0"/>
              <w:autoSpaceDN w:val="0"/>
              <w:adjustRightInd w:val="0"/>
              <w:jc w:val="both"/>
            </w:pPr>
            <w:r w:rsidRPr="003E660F">
              <w:rPr>
                <w:sz w:val="22"/>
                <w:szCs w:val="22"/>
              </w:rPr>
              <w:t>Wniosek składa właściciel osobiście lub przez upoważnionego pełnomocnika.</w:t>
            </w:r>
          </w:p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Starostwo Powiatowe we Wrocławiu</w:t>
            </w:r>
          </w:p>
          <w:p w:rsidR="000C2C32" w:rsidRPr="003E660F" w:rsidRDefault="000C2C32" w:rsidP="009F4E27">
            <w:pPr>
              <w:jc w:val="both"/>
              <w:rPr>
                <w:b/>
                <w:bCs/>
              </w:rPr>
            </w:pPr>
            <w:r w:rsidRPr="003E660F">
              <w:rPr>
                <w:bCs/>
                <w:sz w:val="22"/>
                <w:szCs w:val="22"/>
              </w:rPr>
              <w:t xml:space="preserve">Wydział Komunikacji </w:t>
            </w:r>
          </w:p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ul. Tadeusza Kościuszki 131</w:t>
            </w:r>
          </w:p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50-440 Wrocław</w:t>
            </w:r>
          </w:p>
          <w:p w:rsidR="000C2C32" w:rsidRPr="003E660F" w:rsidRDefault="000C2C32" w:rsidP="00D8295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 xml:space="preserve">w godzinach pracy </w:t>
            </w:r>
            <w:r w:rsidR="00D82957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0C2C32" w:rsidRPr="003E660F" w:rsidTr="009F4E27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0C2C32" w:rsidRPr="003E660F" w:rsidRDefault="00DF77FC" w:rsidP="009F4E27">
            <w:pPr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="000C2C32" w:rsidRPr="003E660F">
              <w:rPr>
                <w:sz w:val="22"/>
                <w:szCs w:val="22"/>
              </w:rPr>
              <w:t>Miejsce wydawania dokumentów:</w:t>
            </w:r>
          </w:p>
        </w:tc>
      </w:tr>
      <w:tr w:rsidR="000C2C32" w:rsidRPr="003E660F" w:rsidTr="009F4E27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Starostwo Powiatowe we Wrocławiu</w:t>
            </w:r>
          </w:p>
          <w:p w:rsidR="000C2C32" w:rsidRPr="003E660F" w:rsidRDefault="000C2C32" w:rsidP="009F4E27">
            <w:pPr>
              <w:jc w:val="both"/>
              <w:rPr>
                <w:b/>
                <w:bCs/>
              </w:rPr>
            </w:pPr>
            <w:r w:rsidRPr="003E660F">
              <w:rPr>
                <w:bCs/>
                <w:sz w:val="22"/>
                <w:szCs w:val="22"/>
              </w:rPr>
              <w:t xml:space="preserve">Wydział Komunikacji </w:t>
            </w:r>
          </w:p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ul. Tadeusza Kościuszki 131</w:t>
            </w:r>
          </w:p>
          <w:p w:rsidR="000C2C32" w:rsidRPr="003E660F" w:rsidRDefault="000C2C32" w:rsidP="009F4E27">
            <w:pPr>
              <w:jc w:val="both"/>
              <w:rPr>
                <w:bCs/>
              </w:rPr>
            </w:pPr>
            <w:r w:rsidRPr="003E660F">
              <w:rPr>
                <w:bCs/>
                <w:sz w:val="22"/>
                <w:szCs w:val="22"/>
              </w:rPr>
              <w:t>50-440 Wrocław</w:t>
            </w:r>
          </w:p>
          <w:p w:rsidR="000C2C32" w:rsidRPr="003E660F" w:rsidRDefault="000C2C32" w:rsidP="00D82957">
            <w:pPr>
              <w:jc w:val="both"/>
              <w:rPr>
                <w:b/>
                <w:bCs/>
              </w:rPr>
            </w:pPr>
            <w:r w:rsidRPr="003E660F">
              <w:rPr>
                <w:bCs/>
                <w:sz w:val="22"/>
                <w:szCs w:val="22"/>
              </w:rPr>
              <w:t xml:space="preserve">w godzinach pracy </w:t>
            </w:r>
            <w:r w:rsidR="00D82957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0C2C32" w:rsidRPr="003E660F" w:rsidTr="009F4E27">
        <w:trPr>
          <w:trHeight w:val="2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C2C32" w:rsidRPr="003E660F" w:rsidRDefault="00DF77FC" w:rsidP="009F4E27">
            <w:pPr>
              <w:jc w:val="both"/>
            </w:pPr>
            <w:r>
              <w:rPr>
                <w:sz w:val="22"/>
                <w:szCs w:val="22"/>
              </w:rPr>
              <w:t xml:space="preserve">3. </w:t>
            </w:r>
            <w:r w:rsidR="000C2C32" w:rsidRPr="003E660F">
              <w:rPr>
                <w:sz w:val="22"/>
                <w:szCs w:val="22"/>
              </w:rPr>
              <w:t>Dokumenty wymagane od wnioskodawcy:</w:t>
            </w:r>
          </w:p>
        </w:tc>
      </w:tr>
      <w:tr w:rsidR="000C2C32" w:rsidRPr="003E660F" w:rsidTr="009F4E27">
        <w:trPr>
          <w:trHeight w:val="8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5B0393" w:rsidRDefault="000C2C32" w:rsidP="009F4E27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5B0393">
              <w:rPr>
                <w:color w:val="auto"/>
                <w:sz w:val="22"/>
                <w:szCs w:val="22"/>
              </w:rPr>
              <w:t>Wniosek o rejestrację (druk do pobrania);</w:t>
            </w:r>
          </w:p>
          <w:p w:rsidR="00716EB6" w:rsidRPr="00716EB6" w:rsidRDefault="000C2C32" w:rsidP="00716EB6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5B0393">
              <w:rPr>
                <w:color w:val="auto"/>
                <w:sz w:val="22"/>
                <w:szCs w:val="22"/>
              </w:rPr>
              <w:t>Dowód własności pojazdu</w:t>
            </w:r>
            <w:r w:rsidR="00386A0D">
              <w:rPr>
                <w:color w:val="auto"/>
                <w:sz w:val="22"/>
                <w:szCs w:val="22"/>
              </w:rPr>
              <w:t xml:space="preserve"> (oryginał)</w:t>
            </w:r>
            <w:r w:rsidRPr="005B0393">
              <w:rPr>
                <w:color w:val="auto"/>
                <w:sz w:val="22"/>
                <w:szCs w:val="22"/>
              </w:rPr>
              <w:t>;</w:t>
            </w:r>
          </w:p>
          <w:p w:rsidR="000C2C32" w:rsidRPr="005B0393" w:rsidRDefault="000C2C32" w:rsidP="009F4E27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5B0393">
              <w:rPr>
                <w:color w:val="auto"/>
                <w:sz w:val="22"/>
                <w:szCs w:val="22"/>
              </w:rPr>
              <w:t>Dowód rejestracyjny pojazdu</w:t>
            </w:r>
            <w:r w:rsidR="006A5757" w:rsidRPr="005B0393">
              <w:rPr>
                <w:color w:val="auto"/>
                <w:sz w:val="22"/>
                <w:szCs w:val="22"/>
              </w:rPr>
              <w:t xml:space="preserve"> </w:t>
            </w:r>
            <w:r w:rsidR="006A5757" w:rsidRPr="005B0393">
              <w:rPr>
                <w:sz w:val="22"/>
                <w:szCs w:val="22"/>
              </w:rPr>
              <w:t xml:space="preserve"> (część I </w:t>
            </w:r>
            <w:proofErr w:type="spellStart"/>
            <w:r w:rsidR="006A5757" w:rsidRPr="005B0393">
              <w:rPr>
                <w:sz w:val="22"/>
                <w:szCs w:val="22"/>
              </w:rPr>
              <w:t>i</w:t>
            </w:r>
            <w:proofErr w:type="spellEnd"/>
            <w:r w:rsidR="006A5757" w:rsidRPr="005B0393">
              <w:rPr>
                <w:sz w:val="22"/>
                <w:szCs w:val="22"/>
              </w:rPr>
              <w:t xml:space="preserve"> II, jeśli taki wzór obowiązuje w kraju pochodzenia pojazdu)</w:t>
            </w:r>
            <w:r w:rsidRPr="005B0393">
              <w:rPr>
                <w:color w:val="auto"/>
                <w:sz w:val="22"/>
                <w:szCs w:val="22"/>
              </w:rPr>
              <w:t xml:space="preserve"> </w:t>
            </w:r>
            <w:r w:rsidR="006A5757" w:rsidRPr="005B0393">
              <w:rPr>
                <w:color w:val="auto"/>
                <w:sz w:val="22"/>
                <w:szCs w:val="22"/>
              </w:rPr>
              <w:t xml:space="preserve">- </w:t>
            </w:r>
            <w:r w:rsidRPr="005B0393">
              <w:rPr>
                <w:color w:val="auto"/>
                <w:sz w:val="22"/>
                <w:szCs w:val="22"/>
              </w:rPr>
              <w:t xml:space="preserve">jeżeli pojazd </w:t>
            </w:r>
            <w:r w:rsidR="006A5757" w:rsidRPr="005B0393">
              <w:rPr>
                <w:color w:val="auto"/>
                <w:sz w:val="22"/>
                <w:szCs w:val="22"/>
              </w:rPr>
              <w:t>był zarejestrowany zagranicą. W</w:t>
            </w:r>
            <w:r w:rsidRPr="005B0393">
              <w:rPr>
                <w:color w:val="auto"/>
                <w:sz w:val="22"/>
                <w:szCs w:val="22"/>
              </w:rPr>
              <w:t xml:space="preserve"> przypadku braku </w:t>
            </w:r>
            <w:r w:rsidR="006A5757" w:rsidRPr="005B0393">
              <w:rPr>
                <w:color w:val="auto"/>
                <w:sz w:val="22"/>
                <w:szCs w:val="22"/>
              </w:rPr>
              <w:t>d</w:t>
            </w:r>
            <w:r w:rsidRPr="005B0393">
              <w:rPr>
                <w:color w:val="auto"/>
                <w:sz w:val="22"/>
                <w:szCs w:val="22"/>
              </w:rPr>
              <w:t>owodu rejestracyjnego wymagane jest: DLA KRAJÓW UE – zaświadczenie wydane przez organ ostatniej rejestracji potwierdzające dane zawarte w z</w:t>
            </w:r>
            <w:r w:rsidR="008248D4">
              <w:rPr>
                <w:color w:val="auto"/>
                <w:sz w:val="22"/>
                <w:szCs w:val="22"/>
              </w:rPr>
              <w:t xml:space="preserve">agubionym/utraconym dokumencie. </w:t>
            </w:r>
          </w:p>
          <w:p w:rsidR="000C2C32" w:rsidRPr="00B84B68" w:rsidRDefault="000C2C32" w:rsidP="009F4E27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5B0393">
              <w:rPr>
                <w:color w:val="auto"/>
                <w:sz w:val="22"/>
                <w:szCs w:val="22"/>
              </w:rPr>
              <w:t xml:space="preserve">Uwierzytelnione </w:t>
            </w:r>
            <w:r w:rsidRPr="00B84B68">
              <w:rPr>
                <w:color w:val="auto"/>
                <w:sz w:val="22"/>
                <w:szCs w:val="22"/>
              </w:rPr>
              <w:t>tłumaczenia przez tłumacza przysięgłego dowodu własności (jeżeli sporządzony jest w języku obcym);</w:t>
            </w:r>
          </w:p>
          <w:p w:rsidR="000C2C32" w:rsidRPr="00B84B68" w:rsidRDefault="000C2C32" w:rsidP="009F4E27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B84B68">
              <w:rPr>
                <w:color w:val="auto"/>
                <w:sz w:val="22"/>
                <w:szCs w:val="22"/>
              </w:rPr>
              <w:t>Dokument potwierdzający zapłatę akcyzy w Polsce albo dokument potwierdzający brak obowiązku zapłaty akcyzy lub zaświadczenie stwierdzające zwolnienie od akcyzy (dotyczy samoch</w:t>
            </w:r>
            <w:r w:rsidR="000C4B66" w:rsidRPr="00B84B68">
              <w:rPr>
                <w:color w:val="auto"/>
                <w:sz w:val="22"/>
                <w:szCs w:val="22"/>
              </w:rPr>
              <w:t xml:space="preserve">odu osobowego). </w:t>
            </w:r>
            <w:r w:rsidR="000C4B66" w:rsidRPr="00B84B68">
              <w:rPr>
                <w:color w:val="auto"/>
                <w:sz w:val="22"/>
                <w:szCs w:val="22"/>
                <w:shd w:val="clear" w:color="auto" w:fill="FFFFFF"/>
              </w:rPr>
              <w:t>W przypadku nabycia pojazdu od wyspecjalizowanego salonu sprzedaży dokument potwierdzający zapłatę akcyzy może być zastąpiony oświadczeniem tego salonu, że posiada oryginał lub kopię dokumentu potwierdzającego zapłatę akcyzy;</w:t>
            </w:r>
          </w:p>
          <w:p w:rsidR="002D4BA3" w:rsidRPr="00B84B68" w:rsidRDefault="000C2C32" w:rsidP="002D4BA3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B84B68">
              <w:rPr>
                <w:color w:val="auto"/>
                <w:sz w:val="22"/>
                <w:szCs w:val="22"/>
              </w:rPr>
              <w:t xml:space="preserve">Zaświadczenie o pozytywnym wyniku badania technicznego pojazdu wraz z dokumentem identyfikacyjnym pojazdu zarejestrowanego po raz pierwszy za granicą </w:t>
            </w:r>
            <w:r w:rsidR="006A5757" w:rsidRPr="00B84B68">
              <w:rPr>
                <w:color w:val="auto"/>
                <w:sz w:val="22"/>
                <w:szCs w:val="22"/>
              </w:rPr>
              <w:t xml:space="preserve"> potwierdzającego wykonanie oraz termin ważności badania technicznego</w:t>
            </w:r>
            <w:r w:rsidRPr="00B84B68">
              <w:rPr>
                <w:color w:val="auto"/>
                <w:sz w:val="22"/>
                <w:szCs w:val="22"/>
              </w:rPr>
              <w:t xml:space="preserve">; </w:t>
            </w:r>
          </w:p>
          <w:p w:rsidR="000C2C32" w:rsidRPr="00B84B68" w:rsidRDefault="00716EB6" w:rsidP="009F4E27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B84B6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</w:t>
            </w:r>
            <w:r w:rsidR="000C2C32" w:rsidRPr="00B84B6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ablice (tablicę) rejestracyjne, jeżeli pojazd był zarejestrowany; w przypadku pojazdu sprowadzonego z zagranicy bez tablic rejestracyjnych lub konieczności zwrotu tych tablic do organu rejestrującego państwa, z którego pojazd został sprowadzony, właściciel pojazdu zamiast tablic rejestracyjnych dołącza stosowne oświadczenie;</w:t>
            </w:r>
          </w:p>
          <w:p w:rsidR="00B84B68" w:rsidRPr="00B84B68" w:rsidRDefault="000C4B66" w:rsidP="00B84B6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B84B68">
              <w:rPr>
                <w:b/>
                <w:color w:val="auto"/>
                <w:sz w:val="22"/>
                <w:szCs w:val="22"/>
              </w:rPr>
              <w:t xml:space="preserve">W </w:t>
            </w:r>
            <w:r w:rsidRPr="00B84B68">
              <w:rPr>
                <w:b/>
                <w:bCs/>
                <w:color w:val="auto"/>
                <w:sz w:val="22"/>
                <w:szCs w:val="22"/>
              </w:rPr>
              <w:t>przypadku pojazdów wprowadzonych na terytorium kraju przed dniem 1 stycznia 2016 r.</w:t>
            </w:r>
            <w:r w:rsidRPr="00B84B68">
              <w:rPr>
                <w:color w:val="auto"/>
                <w:sz w:val="22"/>
                <w:szCs w:val="22"/>
              </w:rPr>
              <w:t> - dowód wpłaty, o którym mowa była w uchylonym z dniem 1 stycznia 2016 r. art. 12 ust. 2 ustawy z dnia 20 stycznia 2005 r. o recyklingu pojazdów wycofanych z eksploatacji</w:t>
            </w:r>
          </w:p>
          <w:p w:rsidR="00B84B68" w:rsidRPr="00B84B68" w:rsidRDefault="00B84B68" w:rsidP="00B84B6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B84B68">
              <w:rPr>
                <w:b/>
                <w:color w:val="auto"/>
                <w:sz w:val="22"/>
                <w:szCs w:val="22"/>
              </w:rPr>
              <w:t>Imienne pełnomocnictwo -</w:t>
            </w:r>
            <w:r w:rsidRPr="00B84B68">
              <w:rPr>
                <w:color w:val="auto"/>
                <w:sz w:val="22"/>
                <w:szCs w:val="22"/>
              </w:rPr>
              <w:t xml:space="preserve">  Sprawy rejestracji pojazdu załatwia osobiście właściciel pojazdu lub osoba posiadająca pisemne pełnomocnictwo (pełnomocnik). Jeżeli istnieje współwłasność, wymaga się pełnomocnictwa od współwłaściciela (lub współwłaścicieli).</w:t>
            </w:r>
          </w:p>
          <w:p w:rsidR="00B84B68" w:rsidRPr="005B0393" w:rsidRDefault="00B84B68" w:rsidP="00B84B68">
            <w:pPr>
              <w:pStyle w:val="Default"/>
              <w:ind w:left="426"/>
              <w:jc w:val="both"/>
              <w:rPr>
                <w:color w:val="auto"/>
                <w:sz w:val="22"/>
                <w:szCs w:val="22"/>
              </w:rPr>
            </w:pPr>
          </w:p>
          <w:p w:rsidR="000C2C32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386A0D" w:rsidRPr="0020578A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20578A">
              <w:rPr>
                <w:color w:val="auto"/>
                <w:sz w:val="22"/>
                <w:szCs w:val="22"/>
                <w:u w:val="single"/>
              </w:rPr>
              <w:t>Do wglądu:</w:t>
            </w:r>
          </w:p>
          <w:p w:rsidR="00386A0D" w:rsidRPr="00AE5735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350175">
              <w:rPr>
                <w:color w:val="auto"/>
                <w:sz w:val="22"/>
                <w:szCs w:val="22"/>
              </w:rPr>
              <w:t xml:space="preserve"> Dowód osobisty lub paszport</w:t>
            </w:r>
          </w:p>
          <w:p w:rsidR="000C2C32" w:rsidRPr="003E660F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C2C32" w:rsidRPr="003E660F" w:rsidTr="009F4E27">
        <w:trPr>
          <w:trHeight w:val="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C2C32" w:rsidRPr="003E660F" w:rsidRDefault="00DF77FC" w:rsidP="009F4E27">
            <w:pPr>
              <w:jc w:val="both"/>
            </w:pPr>
            <w:r>
              <w:rPr>
                <w:sz w:val="22"/>
                <w:szCs w:val="22"/>
              </w:rPr>
              <w:t xml:space="preserve">4. </w:t>
            </w:r>
            <w:r w:rsidR="000C2C32" w:rsidRPr="003E660F">
              <w:rPr>
                <w:sz w:val="22"/>
                <w:szCs w:val="22"/>
              </w:rPr>
              <w:t>Informacje o opłatach:</w:t>
            </w:r>
          </w:p>
        </w:tc>
      </w:tr>
      <w:tr w:rsidR="000C2C32" w:rsidRPr="003E660F" w:rsidTr="009F4E27">
        <w:trPr>
          <w:trHeight w:val="8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3E660F">
              <w:rPr>
                <w:color w:val="auto"/>
                <w:sz w:val="22"/>
                <w:szCs w:val="22"/>
                <w:u w:val="single"/>
              </w:rPr>
              <w:t>Opłaty komunikacyjne:</w:t>
            </w:r>
          </w:p>
          <w:p w:rsidR="000C2C32" w:rsidRPr="003E660F" w:rsidRDefault="00FC72BC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Rejestracja pojazdów samochodowych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: </w:t>
            </w:r>
            <w:r w:rsidR="00C0090F">
              <w:rPr>
                <w:color w:val="auto"/>
                <w:sz w:val="22"/>
                <w:szCs w:val="22"/>
              </w:rPr>
              <w:t>160</w:t>
            </w:r>
            <w:r>
              <w:rPr>
                <w:color w:val="auto"/>
                <w:sz w:val="22"/>
                <w:szCs w:val="22"/>
              </w:rPr>
              <w:t>,00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 zł </w:t>
            </w:r>
          </w:p>
          <w:p w:rsidR="000C2C32" w:rsidRPr="003E660F" w:rsidRDefault="00FC72BC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Rejestracja motocykli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: </w:t>
            </w:r>
            <w:r>
              <w:rPr>
                <w:color w:val="auto"/>
                <w:sz w:val="22"/>
                <w:szCs w:val="22"/>
              </w:rPr>
              <w:t>1</w:t>
            </w:r>
            <w:r w:rsidR="00C0090F">
              <w:rPr>
                <w:color w:val="auto"/>
                <w:sz w:val="22"/>
                <w:szCs w:val="22"/>
              </w:rPr>
              <w:t>20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,00 zł </w:t>
            </w:r>
          </w:p>
          <w:p w:rsidR="000C2C32" w:rsidRPr="003E660F" w:rsidRDefault="00FC72BC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 Rejestracja przyczepy, naczepy, ciągnika rolniczego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: </w:t>
            </w:r>
            <w:r>
              <w:rPr>
                <w:color w:val="auto"/>
                <w:sz w:val="22"/>
                <w:szCs w:val="22"/>
              </w:rPr>
              <w:t>12</w:t>
            </w:r>
            <w:r w:rsidR="00C0090F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</w:t>
            </w:r>
            <w:r w:rsidR="00C0090F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0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 zł</w:t>
            </w:r>
          </w:p>
          <w:p w:rsidR="000C2C32" w:rsidRPr="003E660F" w:rsidRDefault="00FC72BC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 Rejestracja motoroweru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: </w:t>
            </w:r>
            <w:r>
              <w:rPr>
                <w:color w:val="auto"/>
                <w:sz w:val="22"/>
                <w:szCs w:val="22"/>
              </w:rPr>
              <w:t>11</w:t>
            </w:r>
            <w:r w:rsidR="00C0090F">
              <w:rPr>
                <w:color w:val="auto"/>
                <w:sz w:val="22"/>
                <w:szCs w:val="22"/>
              </w:rPr>
              <w:t>0</w:t>
            </w:r>
            <w:r w:rsidR="000C2C32" w:rsidRPr="003E660F">
              <w:rPr>
                <w:color w:val="auto"/>
                <w:sz w:val="22"/>
                <w:szCs w:val="22"/>
              </w:rPr>
              <w:t>,</w:t>
            </w:r>
            <w:r w:rsidR="00C0090F">
              <w:rPr>
                <w:color w:val="auto"/>
                <w:sz w:val="22"/>
                <w:szCs w:val="22"/>
              </w:rPr>
              <w:t>0</w:t>
            </w:r>
            <w:r w:rsidR="000C2C32" w:rsidRPr="003E660F">
              <w:rPr>
                <w:color w:val="auto"/>
                <w:sz w:val="22"/>
                <w:szCs w:val="22"/>
              </w:rPr>
              <w:t xml:space="preserve">0 zł </w:t>
            </w:r>
            <w:bookmarkStart w:id="0" w:name="_GoBack"/>
            <w:bookmarkEnd w:id="0"/>
          </w:p>
          <w:p w:rsidR="00FC72BC" w:rsidRDefault="00FC72BC" w:rsidP="00386A0D">
            <w:pPr>
              <w:jc w:val="both"/>
            </w:pPr>
          </w:p>
          <w:p w:rsidR="00FC72BC" w:rsidRPr="00FC72BC" w:rsidRDefault="00FC72BC" w:rsidP="00386A0D">
            <w:pPr>
              <w:jc w:val="both"/>
              <w:rPr>
                <w:u w:val="single"/>
              </w:rPr>
            </w:pPr>
            <w:r w:rsidRPr="00FC72BC">
              <w:rPr>
                <w:sz w:val="22"/>
                <w:szCs w:val="22"/>
                <w:u w:val="single"/>
              </w:rPr>
              <w:t>Opłaty skarbowe:</w:t>
            </w:r>
          </w:p>
          <w:p w:rsidR="00386A0D" w:rsidRPr="003E660F" w:rsidRDefault="00386A0D" w:rsidP="00386A0D">
            <w:pPr>
              <w:jc w:val="both"/>
            </w:pPr>
            <w:r w:rsidRPr="003E660F">
              <w:rPr>
                <w:sz w:val="22"/>
                <w:szCs w:val="22"/>
              </w:rPr>
              <w:t xml:space="preserve">- w przypadku pełnomocnictwa do załatwiania spraw – </w:t>
            </w:r>
            <w:r w:rsidRPr="0020578A">
              <w:rPr>
                <w:sz w:val="22"/>
                <w:szCs w:val="22"/>
                <w:u w:val="single"/>
              </w:rPr>
              <w:t>opłata skarbowa</w:t>
            </w:r>
            <w:r w:rsidRPr="003E660F">
              <w:rPr>
                <w:sz w:val="22"/>
                <w:szCs w:val="22"/>
              </w:rPr>
              <w:t xml:space="preserve"> wynosi </w:t>
            </w:r>
            <w:r w:rsidRPr="00572396">
              <w:rPr>
                <w:b/>
                <w:sz w:val="22"/>
                <w:szCs w:val="22"/>
              </w:rPr>
              <w:t>17,00 złotych</w:t>
            </w:r>
          </w:p>
          <w:p w:rsidR="00386A0D" w:rsidRPr="003E660F" w:rsidRDefault="00386A0D" w:rsidP="00386A0D">
            <w:pPr>
              <w:jc w:val="both"/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386A0D" w:rsidRPr="003E660F" w:rsidTr="0029464B">
              <w:trPr>
                <w:trHeight w:val="704"/>
              </w:trPr>
              <w:tc>
                <w:tcPr>
                  <w:tcW w:w="9356" w:type="dxa"/>
                </w:tcPr>
                <w:p w:rsidR="00386A0D" w:rsidRDefault="00386A0D" w:rsidP="00C0090F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3E660F">
                    <w:rPr>
                      <w:sz w:val="22"/>
                      <w:szCs w:val="22"/>
                    </w:rPr>
                    <w:t>Należną opłatę uiszcza się:</w:t>
                  </w:r>
                </w:p>
                <w:p w:rsidR="00386A0D" w:rsidRDefault="00386A0D" w:rsidP="00C0090F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E91C87">
                    <w:rPr>
                      <w:b/>
                      <w:sz w:val="22"/>
                      <w:szCs w:val="22"/>
                    </w:rPr>
                    <w:t xml:space="preserve">- </w:t>
                  </w:r>
                  <w:r w:rsidRPr="00E91C87">
                    <w:rPr>
                      <w:b/>
                      <w:sz w:val="22"/>
                      <w:szCs w:val="22"/>
                      <w:u w:val="single"/>
                    </w:rPr>
                    <w:t>opłaty komunikacyjne:</w:t>
                  </w:r>
                  <w:r w:rsidRPr="00E91C87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D82957">
                    <w:rPr>
                      <w:sz w:val="22"/>
                      <w:szCs w:val="22"/>
                    </w:rPr>
                    <w:t xml:space="preserve">gotówką w kasie Starostwa Powiatowego we Wrocławiu,                            ul. Tadeusza Kościuszki 131, 50-440 Wrocław, w godz. 8.00-15:30 lub przelewem na konto: Powiat Wrocławski </w:t>
                  </w:r>
                  <w:r w:rsidRPr="00E91C87">
                    <w:rPr>
                      <w:sz w:val="22"/>
                      <w:szCs w:val="22"/>
                    </w:rPr>
                    <w:t>35 1560 0013 2124 1805 1000 0002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386A0D" w:rsidRPr="0020578A" w:rsidRDefault="00386A0D" w:rsidP="00C0090F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20578A">
                    <w:rPr>
                      <w:b/>
                      <w:sz w:val="22"/>
                      <w:szCs w:val="22"/>
                    </w:rPr>
                    <w:t>-</w:t>
                  </w:r>
                  <w:r w:rsidRPr="0020578A">
                    <w:rPr>
                      <w:sz w:val="22"/>
                      <w:szCs w:val="22"/>
                    </w:rPr>
                    <w:t xml:space="preserve">  </w:t>
                  </w:r>
                  <w:r w:rsidRPr="0020578A">
                    <w:rPr>
                      <w:b/>
                      <w:sz w:val="22"/>
                      <w:szCs w:val="22"/>
                      <w:u w:val="single"/>
                    </w:rPr>
                    <w:t>opłata skarbowa</w:t>
                  </w:r>
                  <w:r w:rsidRPr="0020578A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gotówką w kasie Starostwa Powiatowego we Wrocławiu, ul. Tadeusza Kościuszki 131, 50-440 Wrocław, w godz. 8.00-15:30 lub przelewem na konto Gminy Wrocław: PKO Bank Polski S.A. </w:t>
                  </w:r>
                  <w:r w:rsidRPr="007A2E41">
                    <w:rPr>
                      <w:sz w:val="22"/>
                      <w:szCs w:val="22"/>
                    </w:rPr>
                    <w:t xml:space="preserve">Nr konta </w:t>
                  </w:r>
                  <w:r w:rsidRPr="007A2E41">
                    <w:rPr>
                      <w:rStyle w:val="Pogrubienie"/>
                      <w:sz w:val="22"/>
                      <w:szCs w:val="22"/>
                    </w:rPr>
                    <w:t>82 1020 5226 0000 6102 0417 7895</w:t>
                  </w:r>
                </w:p>
              </w:tc>
            </w:tr>
          </w:tbl>
          <w:p w:rsidR="000C2C32" w:rsidRPr="003E660F" w:rsidRDefault="000C2C32" w:rsidP="009F4E27">
            <w:pPr>
              <w:jc w:val="both"/>
            </w:pPr>
          </w:p>
        </w:tc>
      </w:tr>
      <w:tr w:rsidR="000C2C32" w:rsidRPr="003E660F" w:rsidTr="009F4E27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C2C32" w:rsidRPr="003E660F" w:rsidRDefault="00DF77FC" w:rsidP="00570B3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5. </w:t>
            </w:r>
            <w:r w:rsidR="00570B3C">
              <w:rPr>
                <w:sz w:val="22"/>
                <w:szCs w:val="22"/>
              </w:rPr>
              <w:t>Kary pieniężne:</w:t>
            </w:r>
          </w:p>
        </w:tc>
      </w:tr>
      <w:tr w:rsidR="004362AD" w:rsidRPr="003E660F" w:rsidTr="004362AD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AD" w:rsidRDefault="004362AD" w:rsidP="009F4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 gdy właściciel pojazdu sprowadzonego z terytorium państwa członkowskiego UE nie dokona rejestracji pojazdu na terytorium RP </w:t>
            </w:r>
            <w:r w:rsidRPr="00570B3C">
              <w:rPr>
                <w:b/>
                <w:sz w:val="22"/>
                <w:szCs w:val="22"/>
              </w:rPr>
              <w:t>w terminie 30 dni od dnia jego sprowadzenia</w:t>
            </w:r>
            <w:r>
              <w:rPr>
                <w:sz w:val="22"/>
                <w:szCs w:val="22"/>
              </w:rPr>
              <w:t>, podlega karze pieniężnej w wysokości od 200 zł do 1000 zł.</w:t>
            </w:r>
          </w:p>
          <w:p w:rsidR="004362AD" w:rsidRDefault="004362AD" w:rsidP="009F4E27">
            <w:pPr>
              <w:jc w:val="both"/>
              <w:rPr>
                <w:sz w:val="22"/>
                <w:szCs w:val="22"/>
              </w:rPr>
            </w:pPr>
          </w:p>
        </w:tc>
      </w:tr>
      <w:tr w:rsidR="004362AD" w:rsidRPr="003E660F" w:rsidTr="009F4E27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4362AD" w:rsidRDefault="00570B3C" w:rsidP="009F4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4362AD" w:rsidRPr="003E660F">
              <w:rPr>
                <w:sz w:val="22"/>
                <w:szCs w:val="22"/>
              </w:rPr>
              <w:t>Termin załatwienia sprawy:</w:t>
            </w:r>
          </w:p>
        </w:tc>
      </w:tr>
      <w:tr w:rsidR="000C2C32" w:rsidRPr="003E660F" w:rsidTr="009F4E27">
        <w:trPr>
          <w:trHeight w:val="10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jc w:val="both"/>
            </w:pPr>
            <w:r w:rsidRPr="003E660F">
              <w:rPr>
                <w:sz w:val="22"/>
                <w:szCs w:val="22"/>
              </w:rPr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0C2C32" w:rsidRPr="003E660F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660F">
              <w:rPr>
                <w:color w:val="auto"/>
                <w:sz w:val="22"/>
                <w:szCs w:val="22"/>
              </w:rPr>
              <w:t xml:space="preserve">W sprawach szczególnie skomplikowanych do 60 dni. . </w:t>
            </w:r>
          </w:p>
        </w:tc>
      </w:tr>
      <w:tr w:rsidR="000C2C32" w:rsidRPr="003E660F" w:rsidTr="009F4E27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C2C32" w:rsidRPr="003E660F" w:rsidRDefault="00570B3C" w:rsidP="009F4E27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DF77FC">
              <w:rPr>
                <w:sz w:val="22"/>
                <w:szCs w:val="22"/>
              </w:rPr>
              <w:t xml:space="preserve">. </w:t>
            </w:r>
            <w:r w:rsidR="000C2C32" w:rsidRPr="003E660F">
              <w:rPr>
                <w:sz w:val="22"/>
                <w:szCs w:val="22"/>
              </w:rPr>
              <w:t>Podstawa prawna:</w:t>
            </w:r>
          </w:p>
        </w:tc>
      </w:tr>
      <w:tr w:rsidR="000C2C32" w:rsidRPr="003E660F" w:rsidTr="009F4E27">
        <w:trPr>
          <w:trHeight w:val="211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D" w:rsidRPr="00D0496F" w:rsidRDefault="00386A0D" w:rsidP="00386A0D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Ustawa z dnia 20 czerwca 1997</w:t>
            </w:r>
            <w:r w:rsidR="00E056F5">
              <w:rPr>
                <w:color w:val="auto"/>
                <w:sz w:val="22"/>
                <w:szCs w:val="22"/>
              </w:rPr>
              <w:t xml:space="preserve"> r. - </w:t>
            </w:r>
            <w:r w:rsidR="008125D1">
              <w:rPr>
                <w:color w:val="auto"/>
                <w:sz w:val="22"/>
                <w:szCs w:val="22"/>
              </w:rPr>
              <w:t>Prawo o ruchu drogowym, wraz z przepisami wykonawczymi.</w:t>
            </w:r>
          </w:p>
          <w:p w:rsidR="00386A0D" w:rsidRPr="00572396" w:rsidRDefault="00386A0D" w:rsidP="00386A0D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sz w:val="22"/>
                <w:szCs w:val="22"/>
              </w:rPr>
              <w:t>Ustawa z dnia 22 maja 2003</w:t>
            </w:r>
            <w:r w:rsidR="00E056F5">
              <w:rPr>
                <w:sz w:val="22"/>
                <w:szCs w:val="22"/>
              </w:rPr>
              <w:t xml:space="preserve"> </w:t>
            </w:r>
            <w:r w:rsidRPr="00572396">
              <w:rPr>
                <w:sz w:val="22"/>
                <w:szCs w:val="22"/>
              </w:rPr>
              <w:t xml:space="preserve">r. o ubezpieczeniach obowiązkowych, ubezpieczeniowym Funduszu Gwarancyjnym i Polskim Biurze </w:t>
            </w:r>
            <w:r w:rsidR="008125D1">
              <w:rPr>
                <w:sz w:val="22"/>
                <w:szCs w:val="22"/>
              </w:rPr>
              <w:t>Ubezpieczycieli Komunikacyjnych.</w:t>
            </w:r>
          </w:p>
          <w:p w:rsidR="00386A0D" w:rsidRPr="00572396" w:rsidRDefault="00386A0D" w:rsidP="00386A0D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Ustawa z dnia 16 listopada 2</w:t>
            </w:r>
            <w:r w:rsidR="00E056F5">
              <w:rPr>
                <w:color w:val="auto"/>
                <w:sz w:val="22"/>
                <w:szCs w:val="22"/>
              </w:rPr>
              <w:t>006 r.</w:t>
            </w:r>
            <w:r w:rsidR="008125D1">
              <w:rPr>
                <w:color w:val="auto"/>
                <w:sz w:val="22"/>
                <w:szCs w:val="22"/>
              </w:rPr>
              <w:t xml:space="preserve"> - O opłacie skarbowej.</w:t>
            </w:r>
          </w:p>
          <w:p w:rsidR="00386A0D" w:rsidRPr="00572396" w:rsidRDefault="00386A0D" w:rsidP="00386A0D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</w:t>
            </w:r>
            <w:r w:rsidR="00E056F5">
              <w:rPr>
                <w:color w:val="auto"/>
                <w:sz w:val="22"/>
                <w:szCs w:val="22"/>
              </w:rPr>
              <w:t>tawa z dnia 14 czerwca 1960 r.</w:t>
            </w:r>
            <w:r w:rsidRPr="00572396">
              <w:rPr>
                <w:color w:val="auto"/>
                <w:sz w:val="22"/>
                <w:szCs w:val="22"/>
              </w:rPr>
              <w:t xml:space="preserve"> - Kodeks postępowania administracyjnego. </w:t>
            </w:r>
          </w:p>
          <w:p w:rsidR="006A5757" w:rsidRPr="003E660F" w:rsidRDefault="006A5757" w:rsidP="006A5757">
            <w:pPr>
              <w:pStyle w:val="Default"/>
              <w:tabs>
                <w:tab w:val="left" w:pos="426"/>
              </w:tabs>
              <w:ind w:left="28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C2C32" w:rsidRPr="003E660F" w:rsidTr="009F4E27"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C2C32" w:rsidRPr="003E660F" w:rsidRDefault="00570B3C" w:rsidP="009F4E27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DF77FC">
              <w:rPr>
                <w:sz w:val="22"/>
                <w:szCs w:val="22"/>
              </w:rPr>
              <w:t xml:space="preserve">. </w:t>
            </w:r>
            <w:r w:rsidR="000C2C32" w:rsidRPr="003E660F">
              <w:rPr>
                <w:sz w:val="22"/>
                <w:szCs w:val="22"/>
              </w:rPr>
              <w:t>Tryb odwoławczy:</w:t>
            </w:r>
          </w:p>
        </w:tc>
      </w:tr>
      <w:tr w:rsidR="000C2C32" w:rsidRPr="003E660F" w:rsidTr="009F4E27"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jc w:val="both"/>
              <w:rPr>
                <w:b/>
                <w:bCs/>
              </w:rPr>
            </w:pPr>
            <w:r w:rsidRPr="003E660F">
              <w:rPr>
                <w:sz w:val="22"/>
                <w:szCs w:val="22"/>
              </w:rPr>
              <w:t>Od decyzji w sprawie rejestracji lub odmowy rejestracji pojazdu służy stronie prawo wniesienia odwołania do Samorządowego Kolegium Odwoławczego we Wrocławiu za pośrednictwem Starosty Powiatu Wrocławskiego w terminie 14 dni od daty otrzymania decyzji.</w:t>
            </w:r>
            <w:r w:rsidR="00FD3340">
              <w:rPr>
                <w:sz w:val="22"/>
                <w:szCs w:val="22"/>
              </w:rPr>
              <w:t xml:space="preserve"> </w:t>
            </w:r>
            <w:r w:rsidR="00FD3340" w:rsidRPr="00FD3340">
              <w:rPr>
                <w:sz w:val="22"/>
                <w:szCs w:val="22"/>
              </w:rPr>
              <w:t>Decyzja wydana w pierwszej instancji, od której uzasadnienia organ odstąpił z powodu uwzględnienia w całości żądania strony, jest ostateczna.</w:t>
            </w:r>
          </w:p>
        </w:tc>
      </w:tr>
      <w:tr w:rsidR="000C2C32" w:rsidRPr="003E660F" w:rsidTr="009F4E27">
        <w:trPr>
          <w:trHeight w:val="2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C2C32" w:rsidRPr="003E660F" w:rsidRDefault="00570B3C" w:rsidP="009F4E27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="00DF77FC">
              <w:rPr>
                <w:sz w:val="22"/>
                <w:szCs w:val="22"/>
              </w:rPr>
              <w:t xml:space="preserve">. </w:t>
            </w:r>
            <w:r w:rsidR="000C2C32" w:rsidRPr="003E660F">
              <w:rPr>
                <w:sz w:val="22"/>
                <w:szCs w:val="22"/>
              </w:rPr>
              <w:t>Uwagi, informacje dodatkowe:</w:t>
            </w:r>
          </w:p>
        </w:tc>
      </w:tr>
      <w:tr w:rsidR="000C2C32" w:rsidRPr="003E660F" w:rsidTr="009F4E27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32" w:rsidRPr="003E660F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660F">
              <w:rPr>
                <w:color w:val="auto"/>
                <w:sz w:val="22"/>
                <w:szCs w:val="22"/>
              </w:rPr>
              <w:t>Sprawy rejestracji pojazdu załatwia osobiście właściciel pojazdu lub osoba posiadająca pisemne pełnomocnictwo (pełnomocnik). Jeżeli istnieje współwłasność, wymaga się pełnomocnictwa od współwłaściciela (lub współwłaścicieli).</w:t>
            </w:r>
          </w:p>
          <w:p w:rsidR="000C2C32" w:rsidRPr="003E660F" w:rsidRDefault="000C2C32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386A0D" w:rsidRPr="00AE5735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 xml:space="preserve">Do odbioru stałego dowodu rejestracyjnego wymagane są: </w:t>
            </w:r>
          </w:p>
          <w:p w:rsidR="00386A0D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a) pozwolenie czasowe;</w:t>
            </w:r>
          </w:p>
          <w:p w:rsidR="00386A0D" w:rsidRPr="00AE5735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b) polisa OC;</w:t>
            </w:r>
          </w:p>
          <w:p w:rsidR="00386A0D" w:rsidRPr="00AE5735" w:rsidRDefault="00386A0D" w:rsidP="00386A0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c)</w:t>
            </w:r>
            <w:r w:rsidRPr="00AE5735">
              <w:rPr>
                <w:color w:val="auto"/>
                <w:sz w:val="22"/>
                <w:szCs w:val="22"/>
              </w:rPr>
              <w:t xml:space="preserve"> dowód osobisty (do wglądu - dotyczy osób fizycznych), </w:t>
            </w:r>
          </w:p>
          <w:p w:rsidR="00254B2C" w:rsidRDefault="004D64D9" w:rsidP="00386A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86A0D">
              <w:rPr>
                <w:sz w:val="22"/>
                <w:szCs w:val="22"/>
              </w:rPr>
              <w:t>)</w:t>
            </w:r>
            <w:r w:rsidR="00386A0D" w:rsidRPr="001412C9">
              <w:rPr>
                <w:sz w:val="22"/>
                <w:szCs w:val="22"/>
              </w:rPr>
              <w:t xml:space="preserve"> imienne pełnomocnictwo - w przypadku odbioru z upoważnienia.    </w:t>
            </w:r>
          </w:p>
          <w:p w:rsidR="00254B2C" w:rsidRDefault="00254B2C" w:rsidP="00386A0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54B2C" w:rsidRDefault="00254B2C" w:rsidP="00FD3340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54B2C">
              <w:rPr>
                <w:color w:val="auto"/>
                <w:sz w:val="22"/>
                <w:szCs w:val="22"/>
                <w:shd w:val="clear" w:color="auto" w:fill="FFFFFF"/>
              </w:rPr>
              <w:t>Na mocy obecnie obowiązujących przepisów, pojazd sprowadzony z innego kraju członkowskiego UE lub krajów EFTA, nie musi przed pierwszą rejestracją w Polsce przechodzić badania technicznego, o ile z dokumentów pojazdu przedstawionych do rejestracji wynika, że pojazd posiada aktualne badania techniczne wykonane w kraju pochodzenia. Jeśli jednak termin ten będzie dla danego pojazdu dłuższy niż przewidują to krajowe przepisy, to termin taki nie będzie uznany.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54B2C">
              <w:rPr>
                <w:color w:val="auto"/>
                <w:sz w:val="22"/>
                <w:szCs w:val="22"/>
                <w:shd w:val="clear" w:color="auto" w:fill="FFFFFF"/>
              </w:rPr>
              <w:t xml:space="preserve">Badań technicznych nie muszą też przechodzić pojazdy zarejestrowane w krajach UE i EFTA, na których typ wydano świadectwo homologacji zgodnie ze wspólnotową procedurą homologacji, a dla których od dnia pierwszej rejestracji za granicą nie upłynęło więcej niż: • 3 lata - w przypadku samochodów osobowych, motocykli, motorowerów i ciągników rolniczych • 1 rok - w przypadku pozostałych pojazdów Wszelkie inne pojazdy nie spełniające powyższych wymagań, w tym sprowadzone z krajów innych niż UE i EFTA, muszą zostać poddane przed pierwszą rejestracją w kraju badaniu technicznemu na Stacji Kontroli Pojazdów (SKP). Należy jednak zaznaczyć, iż niezależnie od konieczności poddania pojazdu badaniu </w:t>
            </w:r>
            <w:r w:rsidRPr="00254B2C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>technicznemu w celu ustalenia terminu następnego badania, czy też braku takiej konieczności zgodnie z zasadami opisanymi powyżej, pojazdy sprowadzone z zagranicy mogą podlegać obowiązkowi wykonania BADANIA DODATKOWEGO na SKP, mającego na celu ustalenie wszelkich danych technicznych niezbędnych do rejestracji w kraju, a nie zawartych w dokumentach pojazdu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54B2C" w:rsidRDefault="00254B2C" w:rsidP="00FD3340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:rsidR="00254B2C" w:rsidRDefault="00254B2C" w:rsidP="00FD3340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:rsidR="00476AD2" w:rsidRDefault="00254B2C" w:rsidP="00FD3340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254B2C">
              <w:rPr>
                <w:b/>
                <w:sz w:val="22"/>
                <w:szCs w:val="22"/>
                <w:shd w:val="clear" w:color="auto" w:fill="FFFFFF"/>
              </w:rPr>
              <w:t>TŁUMACZENIA: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476AD2" w:rsidRPr="00476AD2" w:rsidRDefault="00476AD2" w:rsidP="00FD3340">
            <w:pPr>
              <w:shd w:val="clear" w:color="auto" w:fill="FFFFFF"/>
              <w:jc w:val="both"/>
              <w:rPr>
                <w:color w:val="333333"/>
                <w:sz w:val="22"/>
                <w:szCs w:val="22"/>
              </w:rPr>
            </w:pPr>
            <w:r w:rsidRPr="00476AD2">
              <w:rPr>
                <w:color w:val="333333"/>
                <w:sz w:val="22"/>
                <w:szCs w:val="22"/>
              </w:rPr>
              <w:t>Dokumenty sporządzone w języku obcym właściciel pojazdu dołącza do wniosku o rejestrację albo wniosku o wyrejestrowanie pojazdu, wraz z ich tłumaczeniem na język polski dokonanym przez tłumacza przysięgłego albo właściwego konsula, albo przez tłumacza przysięgłego państwa, z którego pojazd został sprowadzony.</w:t>
            </w:r>
          </w:p>
          <w:p w:rsidR="00476AD2" w:rsidRDefault="00476AD2" w:rsidP="00FD3340">
            <w:pPr>
              <w:shd w:val="clear" w:color="auto" w:fill="FFFFFF"/>
              <w:jc w:val="both"/>
              <w:rPr>
                <w:color w:val="333333"/>
                <w:sz w:val="22"/>
                <w:szCs w:val="22"/>
              </w:rPr>
            </w:pPr>
          </w:p>
          <w:p w:rsidR="00476AD2" w:rsidRPr="00476AD2" w:rsidRDefault="00476AD2" w:rsidP="00FD3340">
            <w:pPr>
              <w:shd w:val="clear" w:color="auto" w:fill="FFFFFF"/>
              <w:jc w:val="both"/>
              <w:rPr>
                <w:color w:val="333333"/>
                <w:sz w:val="22"/>
                <w:szCs w:val="22"/>
              </w:rPr>
            </w:pPr>
            <w:r w:rsidRPr="00476AD2">
              <w:rPr>
                <w:color w:val="333333"/>
                <w:sz w:val="22"/>
                <w:szCs w:val="22"/>
              </w:rPr>
              <w:t>Właściciel pojazdu nie ma obowiązku przedłożenia tłumaczenia:</w:t>
            </w:r>
          </w:p>
          <w:p w:rsidR="00476AD2" w:rsidRPr="00476AD2" w:rsidRDefault="00476AD2" w:rsidP="00FD33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76AD2">
              <w:rPr>
                <w:rStyle w:val="alb"/>
                <w:color w:val="333333"/>
                <w:sz w:val="22"/>
                <w:szCs w:val="22"/>
              </w:rPr>
              <w:t>1)</w:t>
            </w:r>
            <w:r w:rsidRPr="00476AD2">
              <w:rPr>
                <w:color w:val="333333"/>
                <w:sz w:val="22"/>
                <w:szCs w:val="22"/>
              </w:rPr>
              <w:t xml:space="preserve">dowodu rejestracyjnego wydanego przez właściwy organ państwa członkowskiego, z tym że organ rejestrujący może w </w:t>
            </w:r>
            <w:r w:rsidRPr="00476AD2">
              <w:rPr>
                <w:sz w:val="22"/>
                <w:szCs w:val="22"/>
              </w:rPr>
              <w:t xml:space="preserve">przypadku wątpliwości wymagać tłumaczenia danych i informacji krajowych zawartych w tym dokumencie, dla których kody nie zostały określone w </w:t>
            </w:r>
            <w:hyperlink r:id="rId7" w:anchor="/document/67427595?unitId=zal(I)&amp;cm=DOCUMENT" w:history="1">
              <w:r w:rsidRPr="00476AD2">
                <w:rPr>
                  <w:rStyle w:val="Hipercze"/>
                  <w:color w:val="auto"/>
                  <w:sz w:val="22"/>
                  <w:szCs w:val="22"/>
                </w:rPr>
                <w:t>załączniku I</w:t>
              </w:r>
            </w:hyperlink>
            <w:r w:rsidRPr="00476AD2">
              <w:rPr>
                <w:sz w:val="22"/>
                <w:szCs w:val="22"/>
              </w:rPr>
              <w:t xml:space="preserve"> do dyrektywy Rady 1999/37/WE z dnia 29 kwietnia 1999 r. w </w:t>
            </w:r>
            <w:r w:rsidRPr="00476AD2">
              <w:rPr>
                <w:rStyle w:val="Uwydatnienie"/>
                <w:i w:val="0"/>
                <w:iCs w:val="0"/>
                <w:sz w:val="22"/>
                <w:szCs w:val="22"/>
              </w:rPr>
              <w:t>sprawie</w:t>
            </w:r>
            <w:r w:rsidRPr="00476AD2">
              <w:rPr>
                <w:sz w:val="22"/>
                <w:szCs w:val="22"/>
              </w:rPr>
              <w:t xml:space="preserve"> dokumentów rejestracyjnych pojazdów (Dz. Urz. WE L 138 z 01.06.1999, str. 57, Dz. Urz. UE L 236 z 23.09.2003, str. 33, Dz. Urz. UE L 10 z 16.01.2004, str. 29, Dz. Urz. UE L 363 z 20.12.2006, str. 344, Dz. Urz. UE L 158 z 10.06.2013, str. 356 i Dz. Urz. UE L 127 z 29.04.2014, str. 129);</w:t>
            </w:r>
          </w:p>
          <w:p w:rsidR="00476AD2" w:rsidRPr="00476AD2" w:rsidRDefault="00476AD2" w:rsidP="00FD33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76AD2">
              <w:rPr>
                <w:rStyle w:val="alb"/>
                <w:sz w:val="22"/>
                <w:szCs w:val="22"/>
              </w:rPr>
              <w:t>2)</w:t>
            </w:r>
            <w:r w:rsidRPr="00476AD2">
              <w:rPr>
                <w:sz w:val="22"/>
                <w:szCs w:val="22"/>
              </w:rPr>
              <w:t>świadectwa zgodności WE albo świadectwa dopuszczenia indywidualnego WE pojazdu;</w:t>
            </w:r>
          </w:p>
          <w:p w:rsidR="00476AD2" w:rsidRPr="00476AD2" w:rsidRDefault="00476AD2" w:rsidP="00FD3340">
            <w:pPr>
              <w:shd w:val="clear" w:color="auto" w:fill="FFFFFF"/>
              <w:jc w:val="both"/>
              <w:rPr>
                <w:color w:val="333333"/>
                <w:sz w:val="22"/>
                <w:szCs w:val="22"/>
              </w:rPr>
            </w:pPr>
            <w:r w:rsidRPr="00476AD2">
              <w:rPr>
                <w:rStyle w:val="alb"/>
                <w:sz w:val="22"/>
                <w:szCs w:val="22"/>
              </w:rPr>
              <w:t>3)</w:t>
            </w:r>
            <w:r w:rsidRPr="00476AD2">
              <w:rPr>
                <w:sz w:val="22"/>
                <w:szCs w:val="22"/>
              </w:rPr>
              <w:t xml:space="preserve">dokumentu, o którym mowa w </w:t>
            </w:r>
            <w:hyperlink r:id="rId8" w:anchor="/document/16798732?unitId=art(79)ust(1)pkt(1)&amp;cm=DOCUMENT" w:history="1">
              <w:r w:rsidRPr="00476AD2">
                <w:rPr>
                  <w:rStyle w:val="Hipercze"/>
                  <w:color w:val="auto"/>
                  <w:sz w:val="22"/>
                  <w:szCs w:val="22"/>
                </w:rPr>
                <w:t>art. 79 ust. 1 pkt 1</w:t>
              </w:r>
            </w:hyperlink>
            <w:r w:rsidRPr="00476AD2">
              <w:rPr>
                <w:sz w:val="22"/>
                <w:szCs w:val="22"/>
              </w:rPr>
              <w:t xml:space="preserve"> i </w:t>
            </w:r>
            <w:hyperlink r:id="rId9" w:anchor="/document/16798732?unitId=art(79)ust(1)pkt(6)&amp;cm=DOCUMENT" w:history="1">
              <w:r w:rsidRPr="00476AD2">
                <w:rPr>
                  <w:rStyle w:val="Hipercze"/>
                  <w:color w:val="auto"/>
                  <w:sz w:val="22"/>
                  <w:szCs w:val="22"/>
                </w:rPr>
                <w:t>6</w:t>
              </w:r>
            </w:hyperlink>
            <w:r w:rsidRPr="00476AD2">
              <w:rPr>
                <w:sz w:val="22"/>
                <w:szCs w:val="22"/>
              </w:rPr>
              <w:t xml:space="preserve"> ustawy</w:t>
            </w:r>
            <w:r w:rsidRPr="00476AD2">
              <w:rPr>
                <w:color w:val="333333"/>
                <w:sz w:val="22"/>
                <w:szCs w:val="22"/>
              </w:rPr>
              <w:t>, wydanego w innym państwie członkowskim, jeżeli organ rejestrujący posiada tłumaczenie analogicznego dokumentu z tego państwa.</w:t>
            </w:r>
          </w:p>
          <w:p w:rsidR="000C2C32" w:rsidRPr="00254B2C" w:rsidRDefault="00386A0D" w:rsidP="00FD33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54B2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DF77FC" w:rsidRPr="003E660F" w:rsidTr="00DF77FC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F77FC" w:rsidRPr="003E660F" w:rsidRDefault="00570B3C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lastRenderedPageBreak/>
              <w:t>10</w:t>
            </w:r>
            <w:r w:rsidR="00DF77FC">
              <w:rPr>
                <w:rStyle w:val="Pogrubienie"/>
                <w:b w:val="0"/>
                <w:sz w:val="22"/>
                <w:szCs w:val="22"/>
              </w:rPr>
              <w:t xml:space="preserve">. </w:t>
            </w:r>
            <w:r w:rsidR="00DF77FC" w:rsidRPr="004B095C">
              <w:rPr>
                <w:rStyle w:val="Pogrubienie"/>
                <w:b w:val="0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DF77FC" w:rsidRPr="003E660F" w:rsidTr="009F4E27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FC" w:rsidRPr="004B095C" w:rsidRDefault="00DF77FC" w:rsidP="00DF77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10" w:history="1">
              <w:r w:rsidRPr="004B095C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DF77FC" w:rsidRPr="004B095C" w:rsidRDefault="00DF77FC" w:rsidP="00DF77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11" w:history="1">
              <w:r w:rsidRPr="004B095C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DF77FC" w:rsidRPr="004B095C" w:rsidRDefault="00DF77FC" w:rsidP="00DF77FC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4B095C">
              <w:rPr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bCs w:val="0"/>
                <w:color w:val="auto"/>
                <w:sz w:val="22"/>
                <w:szCs w:val="22"/>
              </w:rPr>
              <w:t xml:space="preserve"> wskazana w pkt. 6 niniejszej karty</w:t>
            </w:r>
            <w:r w:rsidRPr="004B095C">
              <w:rPr>
                <w:color w:val="auto"/>
                <w:sz w:val="22"/>
                <w:szCs w:val="22"/>
              </w:rPr>
              <w:t xml:space="preserve">. </w:t>
            </w:r>
          </w:p>
          <w:p w:rsidR="00DF77FC" w:rsidRPr="004B095C" w:rsidRDefault="00DF77FC" w:rsidP="00DF77FC">
            <w:pPr>
              <w:ind w:left="360"/>
              <w:jc w:val="both"/>
              <w:rPr>
                <w:bCs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4B095C">
              <w:rPr>
                <w:sz w:val="22"/>
                <w:szCs w:val="22"/>
              </w:rPr>
              <w:t>dopełnienie obowiązków wskazanych przepisami prawa;</w:t>
            </w:r>
          </w:p>
          <w:p w:rsidR="00DF77FC" w:rsidRPr="004B095C" w:rsidRDefault="00DF77FC" w:rsidP="00DF77FC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4B095C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4B095C">
              <w:rPr>
                <w:bCs/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bCs w:val="0"/>
                <w:sz w:val="22"/>
                <w:szCs w:val="22"/>
              </w:rPr>
              <w:t xml:space="preserve">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prokuratury, organów</w:t>
            </w:r>
            <w:r w:rsidRPr="004B095C">
              <w:rPr>
                <w:rStyle w:val="Pogrubienie"/>
                <w:b w:val="0"/>
                <w:bCs w:val="0"/>
                <w:sz w:val="22"/>
                <w:szCs w:val="22"/>
              </w:rPr>
              <w:t xml:space="preserve"> administracji publicznej</w:t>
            </w:r>
            <w:r>
              <w:rPr>
                <w:rStyle w:val="Pogrubienie"/>
                <w:b w:val="0"/>
                <w:sz w:val="22"/>
                <w:szCs w:val="22"/>
              </w:rPr>
              <w:t>, organów administracji celno-skarbowej</w:t>
            </w:r>
          </w:p>
          <w:p w:rsidR="00DF77FC" w:rsidRPr="004B095C" w:rsidRDefault="00DF77FC" w:rsidP="00DF77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Informacja o zamiarze przekazania danych osobowych do państwa trzeciego lub organizacji narodowej – </w:t>
            </w:r>
            <w:r w:rsidRPr="004B095C">
              <w:rPr>
                <w:rStyle w:val="Pogrubienie"/>
                <w:b w:val="0"/>
                <w:bCs w:val="0"/>
                <w:sz w:val="22"/>
                <w:szCs w:val="22"/>
              </w:rPr>
              <w:t xml:space="preserve">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organów</w:t>
            </w:r>
            <w:r w:rsidRPr="004B095C">
              <w:rPr>
                <w:rStyle w:val="Pogrubienie"/>
                <w:b w:val="0"/>
                <w:bCs w:val="0"/>
                <w:sz w:val="22"/>
                <w:szCs w:val="22"/>
              </w:rPr>
              <w:t xml:space="preserve"> administracji publicznej</w:t>
            </w:r>
          </w:p>
          <w:p w:rsidR="00DF77FC" w:rsidRPr="004B095C" w:rsidRDefault="00DF77FC" w:rsidP="00DF77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DF77FC" w:rsidRPr="004B095C" w:rsidRDefault="00DF77FC" w:rsidP="00DF77F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DF77FC" w:rsidRPr="004B095C" w:rsidRDefault="00DF77FC" w:rsidP="00DF77F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DF77FC" w:rsidRPr="004B095C" w:rsidRDefault="00DF77FC" w:rsidP="00DF77F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DF77FC" w:rsidRPr="004B095C" w:rsidRDefault="00DF77FC" w:rsidP="00DF77FC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DF77FC" w:rsidRPr="004B095C" w:rsidRDefault="00DF77FC" w:rsidP="00DF77FC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DF77FC" w:rsidRPr="003E660F" w:rsidRDefault="00DF77FC" w:rsidP="00DF77F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0C2C32" w:rsidRPr="003E660F" w:rsidTr="009F4E27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C2C32" w:rsidRPr="003E660F" w:rsidRDefault="00570B3C" w:rsidP="009F4E27">
            <w:pPr>
              <w:jc w:val="both"/>
            </w:pPr>
            <w:r>
              <w:rPr>
                <w:sz w:val="22"/>
                <w:szCs w:val="22"/>
              </w:rPr>
              <w:lastRenderedPageBreak/>
              <w:t>11</w:t>
            </w:r>
            <w:r w:rsidR="00DF77FC">
              <w:rPr>
                <w:sz w:val="22"/>
                <w:szCs w:val="22"/>
              </w:rPr>
              <w:t>.</w:t>
            </w:r>
            <w:r w:rsidR="000C2C32" w:rsidRPr="003E660F">
              <w:rPr>
                <w:sz w:val="22"/>
                <w:szCs w:val="22"/>
              </w:rPr>
              <w:t>Formularze wniosków do pobrania:</w:t>
            </w:r>
          </w:p>
        </w:tc>
      </w:tr>
      <w:tr w:rsidR="000C2C32" w:rsidRPr="003E660F" w:rsidTr="009F4E27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C32" w:rsidRPr="003E660F" w:rsidRDefault="000C2C32" w:rsidP="009F4E27">
            <w:pPr>
              <w:jc w:val="both"/>
            </w:pPr>
            <w:r w:rsidRPr="003E660F">
              <w:rPr>
                <w:sz w:val="22"/>
                <w:szCs w:val="22"/>
              </w:rPr>
              <w:t xml:space="preserve">Wniosek o rejestrację. </w:t>
            </w:r>
          </w:p>
          <w:p w:rsidR="000C2C32" w:rsidRPr="003E660F" w:rsidRDefault="000C2C32" w:rsidP="009F4E27">
            <w:pPr>
              <w:jc w:val="both"/>
            </w:pPr>
            <w:r w:rsidRPr="003E660F">
              <w:rPr>
                <w:sz w:val="22"/>
                <w:szCs w:val="22"/>
              </w:rPr>
              <w:t>Wzór pełnomocnictwa.</w:t>
            </w:r>
          </w:p>
        </w:tc>
      </w:tr>
    </w:tbl>
    <w:p w:rsidR="000C2C32" w:rsidRPr="003E660F" w:rsidRDefault="000C2C32" w:rsidP="000C2C32">
      <w:pPr>
        <w:jc w:val="both"/>
        <w:rPr>
          <w:sz w:val="22"/>
          <w:szCs w:val="22"/>
        </w:rPr>
      </w:pPr>
    </w:p>
    <w:p w:rsidR="000C2C32" w:rsidRPr="003E660F" w:rsidRDefault="000C2C32" w:rsidP="000C2C32">
      <w:pPr>
        <w:jc w:val="both"/>
        <w:rPr>
          <w:sz w:val="22"/>
          <w:szCs w:val="22"/>
        </w:rPr>
      </w:pPr>
    </w:p>
    <w:p w:rsidR="000C2C32" w:rsidRPr="003E660F" w:rsidRDefault="000C2C32" w:rsidP="000C2C32">
      <w:pPr>
        <w:rPr>
          <w:sz w:val="22"/>
          <w:szCs w:val="22"/>
        </w:rPr>
      </w:pPr>
    </w:p>
    <w:p w:rsidR="000C2C32" w:rsidRPr="003E660F" w:rsidRDefault="000C2C32" w:rsidP="000C2C32">
      <w:pPr>
        <w:rPr>
          <w:sz w:val="22"/>
          <w:szCs w:val="22"/>
        </w:rPr>
      </w:pPr>
    </w:p>
    <w:p w:rsidR="00882EEC" w:rsidRDefault="00882EEC"/>
    <w:sectPr w:rsidR="00882EEC" w:rsidSect="00886385">
      <w:footerReference w:type="default" r:id="rId12"/>
      <w:headerReference w:type="first" r:id="rId13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31" w:rsidRDefault="00444331" w:rsidP="000C2C32">
      <w:r>
        <w:separator/>
      </w:r>
    </w:p>
  </w:endnote>
  <w:endnote w:type="continuationSeparator" w:id="0">
    <w:p w:rsidR="00444331" w:rsidRDefault="00444331" w:rsidP="000C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10" w:rsidRPr="00634A98" w:rsidRDefault="00E33FA6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294110" w:rsidRPr="00684858" w:rsidRDefault="00507D5A">
    <w:pPr>
      <w:pStyle w:val="Stopka"/>
      <w:rPr>
        <w:sz w:val="18"/>
        <w:szCs w:val="18"/>
      </w:rPr>
    </w:pPr>
    <w:r>
      <w:rPr>
        <w:sz w:val="18"/>
        <w:szCs w:val="18"/>
      </w:rPr>
      <w:t>Maciej Koba</w:t>
    </w:r>
    <w:r w:rsidR="00E33FA6" w:rsidRPr="00684858">
      <w:rPr>
        <w:sz w:val="18"/>
        <w:szCs w:val="18"/>
      </w:rPr>
      <w:t xml:space="preserve"> – Dyrektor Wydziału Komunikacji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31" w:rsidRDefault="00444331" w:rsidP="000C2C32">
      <w:r>
        <w:separator/>
      </w:r>
    </w:p>
  </w:footnote>
  <w:footnote w:type="continuationSeparator" w:id="0">
    <w:p w:rsidR="00444331" w:rsidRDefault="00444331" w:rsidP="000C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DF77FC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19760" cy="711200"/>
                <wp:effectExtent l="0" t="0" r="8890" b="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3375D" w:rsidRDefault="00E33FA6" w:rsidP="00091F0A">
          <w:pPr>
            <w:pStyle w:val="Default"/>
            <w:rPr>
              <w:sz w:val="22"/>
            </w:rPr>
          </w:pPr>
          <w:r w:rsidRPr="00AE5735">
            <w:rPr>
              <w:sz w:val="22"/>
              <w:szCs w:val="22"/>
            </w:rPr>
            <w:t xml:space="preserve">Usługa:  </w:t>
          </w:r>
          <w:r>
            <w:rPr>
              <w:bCs/>
            </w:rPr>
            <w:t>Rejestracja pojazdu po raz pierwszy sprowadzonego z zagranicy z terytorium UE</w:t>
          </w: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444331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E33FA6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E33FA6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444331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E33FA6" w:rsidP="002640A8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>
            <w:rPr>
              <w:sz w:val="16"/>
            </w:rPr>
            <w:t>2/KM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E33FA6" w:rsidP="00191AFD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6B7F4C">
            <w:rPr>
              <w:sz w:val="16"/>
            </w:rPr>
            <w:t xml:space="preserve"> </w:t>
          </w:r>
          <w:r w:rsidR="008125D1">
            <w:rPr>
              <w:sz w:val="16"/>
            </w:rPr>
            <w:t>1</w:t>
          </w:r>
          <w:r w:rsidR="00C0090F">
            <w:rPr>
              <w:sz w:val="16"/>
            </w:rPr>
            <w:t>6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E33FA6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191AFD" w:rsidRPr="00CD57A2" w:rsidRDefault="00FD3340" w:rsidP="002640A8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</w:t>
          </w:r>
          <w:r w:rsidR="00C0090F">
            <w:rPr>
              <w:color w:val="808080"/>
              <w:sz w:val="16"/>
            </w:rPr>
            <w:t>1</w:t>
          </w:r>
          <w:r w:rsidR="008125D1">
            <w:rPr>
              <w:color w:val="808080"/>
              <w:sz w:val="16"/>
            </w:rPr>
            <w:t>.</w:t>
          </w:r>
          <w:r w:rsidR="00C0090F">
            <w:rPr>
              <w:color w:val="808080"/>
              <w:sz w:val="16"/>
            </w:rPr>
            <w:t>12</w:t>
          </w:r>
          <w:r w:rsidR="008125D1">
            <w:rPr>
              <w:color w:val="808080"/>
              <w:sz w:val="16"/>
            </w:rPr>
            <w:t>.202</w:t>
          </w:r>
          <w:r>
            <w:rPr>
              <w:color w:val="808080"/>
              <w:sz w:val="16"/>
            </w:rPr>
            <w:t>3</w:t>
          </w:r>
          <w:r w:rsidR="00DF77FC">
            <w:rPr>
              <w:color w:val="808080"/>
              <w:sz w:val="16"/>
            </w:rPr>
            <w:t xml:space="preserve"> r.</w:t>
          </w:r>
        </w:p>
      </w:tc>
    </w:tr>
  </w:tbl>
  <w:p w:rsidR="00886385" w:rsidRDefault="00444331">
    <w:pPr>
      <w:pStyle w:val="Nagwek"/>
    </w:pPr>
  </w:p>
  <w:p w:rsidR="00212598" w:rsidRDefault="00212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D3A"/>
    <w:multiLevelType w:val="multilevel"/>
    <w:tmpl w:val="733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12102"/>
    <w:multiLevelType w:val="hybridMultilevel"/>
    <w:tmpl w:val="51489FB2"/>
    <w:lvl w:ilvl="0" w:tplc="15F48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2"/>
    <w:rsid w:val="000C2C32"/>
    <w:rsid w:val="000C4B66"/>
    <w:rsid w:val="000C4E0B"/>
    <w:rsid w:val="001474B7"/>
    <w:rsid w:val="00191AFD"/>
    <w:rsid w:val="00193720"/>
    <w:rsid w:val="001A6992"/>
    <w:rsid w:val="00212598"/>
    <w:rsid w:val="002150D0"/>
    <w:rsid w:val="00230004"/>
    <w:rsid w:val="00254B2C"/>
    <w:rsid w:val="00263059"/>
    <w:rsid w:val="002D4BA3"/>
    <w:rsid w:val="00386A0D"/>
    <w:rsid w:val="00396AA7"/>
    <w:rsid w:val="003C1B21"/>
    <w:rsid w:val="004362AD"/>
    <w:rsid w:val="00444331"/>
    <w:rsid w:val="00476727"/>
    <w:rsid w:val="00476AD2"/>
    <w:rsid w:val="00481DDC"/>
    <w:rsid w:val="004D64D9"/>
    <w:rsid w:val="004E1ADD"/>
    <w:rsid w:val="00507D5A"/>
    <w:rsid w:val="00516671"/>
    <w:rsid w:val="005642BE"/>
    <w:rsid w:val="00570B3C"/>
    <w:rsid w:val="005813BF"/>
    <w:rsid w:val="005866B1"/>
    <w:rsid w:val="005B0393"/>
    <w:rsid w:val="005B4831"/>
    <w:rsid w:val="006102E5"/>
    <w:rsid w:val="00625E3F"/>
    <w:rsid w:val="00651826"/>
    <w:rsid w:val="006A5757"/>
    <w:rsid w:val="006B7F4C"/>
    <w:rsid w:val="00716EB6"/>
    <w:rsid w:val="008125D1"/>
    <w:rsid w:val="008248D4"/>
    <w:rsid w:val="00847C3B"/>
    <w:rsid w:val="00882EEC"/>
    <w:rsid w:val="008B487D"/>
    <w:rsid w:val="00960615"/>
    <w:rsid w:val="009C4023"/>
    <w:rsid w:val="00A5123C"/>
    <w:rsid w:val="00B02B23"/>
    <w:rsid w:val="00B62EE1"/>
    <w:rsid w:val="00B82D80"/>
    <w:rsid w:val="00B84B68"/>
    <w:rsid w:val="00C0090F"/>
    <w:rsid w:val="00C3235E"/>
    <w:rsid w:val="00C513A3"/>
    <w:rsid w:val="00C57A0A"/>
    <w:rsid w:val="00CD2D77"/>
    <w:rsid w:val="00D06897"/>
    <w:rsid w:val="00D27305"/>
    <w:rsid w:val="00D51528"/>
    <w:rsid w:val="00D723DC"/>
    <w:rsid w:val="00D818BC"/>
    <w:rsid w:val="00D82957"/>
    <w:rsid w:val="00DB36FA"/>
    <w:rsid w:val="00DB745A"/>
    <w:rsid w:val="00DF1DA4"/>
    <w:rsid w:val="00DF77FC"/>
    <w:rsid w:val="00E056F5"/>
    <w:rsid w:val="00E33FA6"/>
    <w:rsid w:val="00ED48CE"/>
    <w:rsid w:val="00FB08F7"/>
    <w:rsid w:val="00FC72BC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4118"/>
  <w15:docId w15:val="{5C2A54ED-179D-4AAF-BAFE-4C6D863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C3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62EE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C2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2C3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2C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3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0C2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C2C3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2E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99"/>
    <w:qFormat/>
    <w:rsid w:val="00B62EE1"/>
    <w:rPr>
      <w:b/>
      <w:bCs/>
    </w:rPr>
  </w:style>
  <w:style w:type="paragraph" w:styleId="Akapitzlist">
    <w:name w:val="List Paragraph"/>
    <w:basedOn w:val="Normalny"/>
    <w:uiPriority w:val="34"/>
    <w:qFormat/>
    <w:rsid w:val="000C4B66"/>
    <w:pPr>
      <w:ind w:left="720"/>
      <w:contextualSpacing/>
    </w:pPr>
  </w:style>
  <w:style w:type="character" w:styleId="Hipercze">
    <w:name w:val="Hyperlink"/>
    <w:basedOn w:val="Domylnaczcionkaakapitu"/>
    <w:unhideWhenUsed/>
    <w:rsid w:val="00DF77FC"/>
    <w:rPr>
      <w:color w:val="0000FF"/>
      <w:u w:val="single"/>
    </w:rPr>
  </w:style>
  <w:style w:type="character" w:customStyle="1" w:styleId="alb">
    <w:name w:val="a_lb"/>
    <w:basedOn w:val="Domylnaczcionkaakapitu"/>
    <w:rsid w:val="00476AD2"/>
  </w:style>
  <w:style w:type="character" w:styleId="Uwydatnienie">
    <w:name w:val="Emphasis"/>
    <w:basedOn w:val="Domylnaczcionkaakapitu"/>
    <w:uiPriority w:val="20"/>
    <w:qFormat/>
    <w:rsid w:val="00476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2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13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9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6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powiatwroclaws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rostwo@powiatwrocl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cp:lastPrinted>2020-03-10T12:42:00Z</cp:lastPrinted>
  <dcterms:created xsi:type="dcterms:W3CDTF">2023-12-11T07:21:00Z</dcterms:created>
  <dcterms:modified xsi:type="dcterms:W3CDTF">2023-12-11T07:21:00Z</dcterms:modified>
</cp:coreProperties>
</file>